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pict>
          <v:shape type="#_x0000_t75" stroked="f" style="width:83.149606299213pt; height:91.086614173228pt; margin-left:0pt; margin-top:0pt; position:absolute; mso-position-horizontal:left; mso-position-vertical:top; mso-position-horizontal-relative:margin; mso-position-vertical-relative:line;">
            <w10:wrap type="square" anchorx="page" anchory="page"/>
            <v:imagedata r:id="rId7" o:title=""/>
          </v:shape>
        </w:pict>
      </w:r>
      <w:r>
        <w:pict>
          <v:shape type="#_x0000_t75" stroked="f" style="width:67.275590551181pt; height:120.18897637795pt; margin-left:0pt; margin-top:0pt; position:absolute; mso-position-horizontal:right; mso-position-vertical:top; mso-position-horizontal-relative:margin; mso-position-vertical-relative:line;">
            <w10:wrap type="square" anchorx="page" anchory="page"/>
            <v:imagedata r:id="rId8" o:title=""/>
          </v:shape>
        </w:pict>
      </w:r>
    </w:p>
    <w:p>
      <w:pPr>
        <w:jc w:val="center"/>
      </w:pPr>
      <w:r>
        <w:rPr>
          <w:sz w:val="28"/>
          <w:szCs w:val="28"/>
        </w:rPr>
        <w:t xml:space="preserve">2025</w:t>
      </w:r>
    </w:p>
    <w:p>
      <w:pPr>
        <w:jc w:val="center"/>
      </w:pPr>
      <w:r>
        <w:rPr>
          <w:sz w:val="28"/>
          <w:szCs w:val="28"/>
        </w:rPr>
        <w:t xml:space="preserve">Project Implementation Report (PIR)</w:t>
      </w:r>
    </w:p>
    <w:p>
      <w:pPr/>
      <w:r>
        <w:rPr/>
        <w:t xml:space="preserve"/>
      </w:r>
    </w:p>
    <w:p>
      <w:pPr/>
      <w:r>
        <w:rPr/>
        <w:t xml:space="preserve"/>
      </w:r>
    </w:p>
    <w:p>
      <w:pPr/>
      <w:r>
        <w:rPr/>
        <w:t xml:space="preserve"/>
      </w:r>
    </w:p>
    <w:p>
      <w:pPr>
        <w:jc w:val="center"/>
      </w:pPr>
      <w:r>
        <w:rPr>
          <w:color w:val="#FF0000"/>
          <w:sz w:val="24"/>
          <w:szCs w:val="24"/>
          <w:b w:val="1"/>
          <w:bCs w:val="1"/>
        </w:rPr>
        <w:t xml:space="preserve">***Full report for internal use only***</w:t>
      </w:r>
    </w:p>
    <w:p>
      <w:pPr/>
      <w:r>
        <w:rPr/>
        <w:t xml:space="preserve"/>
      </w:r>
    </w:p>
    <w:p>
      <w:pPr/>
      <w:r>
        <w:rPr/>
        <w:t xml:space="preserve"/>
      </w:r>
    </w:p>
    <w:p>
      <w:pPr>
        <w:jc w:val="center"/>
      </w:pPr>
      <w:r>
        <w:rPr>
          <w:sz w:val="28"/>
          <w:szCs w:val="28"/>
          <w:b w:val="1"/>
          <w:bCs w:val="1"/>
        </w:rPr>
        <w:t xml:space="preserve">Kyrgyzstan Pamir-Alai</w:t>
      </w:r>
    </w:p>
    <w:p>
      <w:pPr>
        <w:tabs>
          <w:tab w:val="right" w:leader="dot" w:pos="9062"/>
        </w:tabs>
      </w:pPr>
      <w:r>
        <w:fldChar w:fldCharType="begin"/>
      </w:r>
      <w:r>
        <w:instrText xml:space="preserve">TOC \o 1-1 \h \z \u</w:instrText>
      </w:r>
      <w:r>
        <w:fldChar w:fldCharType="separate"/>
      </w:r>
      <w:hyperlink w:anchor="_Toc0" w:history="1">
        <w:r>
          <w:t>Basic Data</w:t>
        </w:r>
        <w:r>
          <w:tab/>
        </w:r>
        <w:r>
          <w:fldChar w:fldCharType="begin"/>
        </w:r>
        <w:r>
          <w:instrText xml:space="preserve">PAGEREF 0 \h</w:instrText>
        </w:r>
        <w:r>
          <w:fldChar w:fldCharType="end"/>
        </w:r>
      </w:hyperlink>
    </w:p>
    <w:p>
      <w:pPr>
        <w:tabs>
          <w:tab w:val="right" w:leader="dot" w:pos="9062"/>
        </w:tabs>
      </w:pPr>
      <w:hyperlink w:anchor="_Toc1" w:history="1">
        <w:r>
          <w:t>Key project dates</w:t>
        </w:r>
        <w:r>
          <w:tab/>
        </w:r>
        <w:r>
          <w:fldChar w:fldCharType="begin"/>
        </w:r>
        <w:r>
          <w:instrText xml:space="preserve">PAGEREF 1 \h</w:instrText>
        </w:r>
        <w:r>
          <w:fldChar w:fldCharType="end"/>
        </w:r>
      </w:hyperlink>
    </w:p>
    <w:p>
      <w:pPr>
        <w:tabs>
          <w:tab w:val="right" w:leader="dot" w:pos="9062"/>
        </w:tabs>
      </w:pPr>
      <w:hyperlink w:anchor="_Toc2" w:history="1">
        <w:r>
          <w:t>Overall ratings</w:t>
        </w:r>
        <w:r>
          <w:tab/>
        </w:r>
        <w:r>
          <w:fldChar w:fldCharType="begin"/>
        </w:r>
        <w:r>
          <w:instrText xml:space="preserve">PAGEREF 2 \h</w:instrText>
        </w:r>
        <w:r>
          <w:fldChar w:fldCharType="end"/>
        </w:r>
      </w:hyperlink>
    </w:p>
    <w:p>
      <w:pPr>
        <w:tabs>
          <w:tab w:val="right" w:leader="dot" w:pos="9062"/>
        </w:tabs>
      </w:pPr>
      <w:hyperlink w:anchor="_Toc3" w:history="1">
        <w:r>
          <w:t>Procurement</w:t>
        </w:r>
        <w:r>
          <w:tab/>
        </w:r>
        <w:r>
          <w:fldChar w:fldCharType="begin"/>
        </w:r>
        <w:r>
          <w:instrText xml:space="preserve">PAGEREF 3 \h</w:instrText>
        </w:r>
        <w:r>
          <w:fldChar w:fldCharType="end"/>
        </w:r>
      </w:hyperlink>
    </w:p>
    <w:p>
      <w:pPr>
        <w:tabs>
          <w:tab w:val="right" w:leader="dot" w:pos="9062"/>
        </w:tabs>
      </w:pPr>
      <w:hyperlink w:anchor="_Toc4" w:history="1">
        <w:r>
          <w:t>Nature Pledge</w:t>
        </w:r>
        <w:r>
          <w:tab/>
        </w:r>
        <w:r>
          <w:fldChar w:fldCharType="begin"/>
        </w:r>
        <w:r>
          <w:instrText xml:space="preserve">PAGEREF 4 \h</w:instrText>
        </w:r>
        <w:r>
          <w:fldChar w:fldCharType="end"/>
        </w:r>
      </w:hyperlink>
    </w:p>
    <w:p>
      <w:pPr>
        <w:tabs>
          <w:tab w:val="right" w:leader="dot" w:pos="9062"/>
        </w:tabs>
      </w:pPr>
      <w:hyperlink w:anchor="_Toc9" w:history="1">
        <w:r>
          <w:t>Development Objective Progress</w:t>
        </w:r>
        <w:r>
          <w:tab/>
        </w:r>
        <w:r>
          <w:fldChar w:fldCharType="begin"/>
        </w:r>
        <w:r>
          <w:instrText xml:space="preserve">PAGEREF 9 \h</w:instrText>
        </w:r>
        <w:r>
          <w:fldChar w:fldCharType="end"/>
        </w:r>
      </w:hyperlink>
    </w:p>
    <w:p>
      <w:pPr>
        <w:tabs>
          <w:tab w:val="right" w:leader="dot" w:pos="9062"/>
        </w:tabs>
      </w:pPr>
      <w:hyperlink w:anchor="_Toc10" w:history="1">
        <w:r>
          <w:t>Finance/Co-Finance</w:t>
        </w:r>
        <w:r>
          <w:tab/>
        </w:r>
        <w:r>
          <w:fldChar w:fldCharType="begin"/>
        </w:r>
        <w:r>
          <w:instrText xml:space="preserve">PAGEREF 10 \h</w:instrText>
        </w:r>
        <w:r>
          <w:fldChar w:fldCharType="end"/>
        </w:r>
      </w:hyperlink>
    </w:p>
    <w:p>
      <w:pPr>
        <w:tabs>
          <w:tab w:val="right" w:leader="dot" w:pos="9062"/>
        </w:tabs>
      </w:pPr>
      <w:hyperlink w:anchor="_Toc13" w:history="1">
        <w:r>
          <w:t>Implementation Progress</w:t>
        </w:r>
        <w:r>
          <w:tab/>
        </w:r>
        <w:r>
          <w:fldChar w:fldCharType="begin"/>
        </w:r>
        <w:r>
          <w:instrText xml:space="preserve">PAGEREF 13 \h</w:instrText>
        </w:r>
        <w:r>
          <w:fldChar w:fldCharType="end"/>
        </w:r>
      </w:hyperlink>
    </w:p>
    <w:p>
      <w:pPr>
        <w:tabs>
          <w:tab w:val="right" w:leader="dot" w:pos="9062"/>
        </w:tabs>
      </w:pPr>
      <w:hyperlink w:anchor="_Toc14" w:history="1">
        <w:r>
          <w:t>Project Governance</w:t>
        </w:r>
        <w:r>
          <w:tab/>
        </w:r>
        <w:r>
          <w:fldChar w:fldCharType="begin"/>
        </w:r>
        <w:r>
          <w:instrText xml:space="preserve">PAGEREF 14 \h</w:instrText>
        </w:r>
        <w:r>
          <w:fldChar w:fldCharType="end"/>
        </w:r>
      </w:hyperlink>
    </w:p>
    <w:p>
      <w:pPr>
        <w:tabs>
          <w:tab w:val="right" w:leader="dot" w:pos="9062"/>
        </w:tabs>
      </w:pPr>
      <w:hyperlink w:anchor="_Toc16" w:history="1">
        <w:r>
          <w:t>Ratings and Overall Assessments</w:t>
        </w:r>
        <w:r>
          <w:tab/>
        </w:r>
        <w:r>
          <w:fldChar w:fldCharType="begin"/>
        </w:r>
        <w:r>
          <w:instrText xml:space="preserve">PAGEREF 16 \h</w:instrText>
        </w:r>
        <w:r>
          <w:fldChar w:fldCharType="end"/>
        </w:r>
      </w:hyperlink>
    </w:p>
    <w:p>
      <w:pPr>
        <w:tabs>
          <w:tab w:val="right" w:leader="dot" w:pos="9062"/>
        </w:tabs>
      </w:pPr>
      <w:hyperlink w:anchor="_Toc17" w:history="1">
        <w:r>
          <w:t>Minor Amendments</w:t>
        </w:r>
        <w:r>
          <w:tab/>
        </w:r>
        <w:r>
          <w:fldChar w:fldCharType="begin"/>
        </w:r>
        <w:r>
          <w:instrText xml:space="preserve">PAGEREF 17 \h</w:instrText>
        </w:r>
        <w:r>
          <w:fldChar w:fldCharType="end"/>
        </w:r>
      </w:hyperlink>
    </w:p>
    <w:p>
      <w:pPr>
        <w:tabs>
          <w:tab w:val="right" w:leader="dot" w:pos="9062"/>
        </w:tabs>
      </w:pPr>
      <w:hyperlink w:anchor="_Toc18" w:history="1">
        <w:r>
          <w:t>Gender</w:t>
        </w:r>
        <w:r>
          <w:tab/>
        </w:r>
        <w:r>
          <w:fldChar w:fldCharType="begin"/>
        </w:r>
        <w:r>
          <w:instrText xml:space="preserve">PAGEREF 18 \h</w:instrText>
        </w:r>
        <w:r>
          <w:fldChar w:fldCharType="end"/>
        </w:r>
      </w:hyperlink>
    </w:p>
    <w:p>
      <w:pPr>
        <w:tabs>
          <w:tab w:val="right" w:leader="dot" w:pos="9062"/>
        </w:tabs>
      </w:pPr>
      <w:hyperlink w:anchor="_Toc20" w:history="1">
        <w:r>
          <w:t>Risk Management</w:t>
        </w:r>
        <w:r>
          <w:tab/>
        </w:r>
        <w:r>
          <w:fldChar w:fldCharType="begin"/>
        </w:r>
        <w:r>
          <w:instrText xml:space="preserve">PAGEREF 20 \h</w:instrText>
        </w:r>
        <w:r>
          <w:fldChar w:fldCharType="end"/>
        </w:r>
      </w:hyperlink>
    </w:p>
    <w:p>
      <w:pPr>
        <w:tabs>
          <w:tab w:val="right" w:leader="dot" w:pos="9062"/>
        </w:tabs>
      </w:pPr>
      <w:hyperlink w:anchor="_Toc24" w:history="1">
        <w:r>
          <w:t>Knowledge Management &amp; Communications</w:t>
        </w:r>
        <w:r>
          <w:tab/>
        </w:r>
        <w:r>
          <w:fldChar w:fldCharType="begin"/>
        </w:r>
        <w:r>
          <w:instrText xml:space="preserve">PAGEREF 24 \h</w:instrText>
        </w:r>
        <w:r>
          <w:fldChar w:fldCharType="end"/>
        </w:r>
      </w:hyperlink>
    </w:p>
    <w:p>
      <w:pPr>
        <w:tabs>
          <w:tab w:val="right" w:leader="dot" w:pos="9062"/>
        </w:tabs>
      </w:pPr>
      <w:hyperlink w:anchor="_Toc25" w:history="1">
        <w:r>
          <w:t>Submissions</w:t>
        </w:r>
        <w:r>
          <w:tab/>
        </w:r>
        <w:r>
          <w:fldChar w:fldCharType="begin"/>
        </w:r>
        <w:r>
          <w:instrText xml:space="preserve">PAGEREF 25 \h</w:instrText>
        </w:r>
        <w:r>
          <w:fldChar w:fldCharType="end"/>
        </w:r>
      </w:hyperlink>
    </w:p>
    <w:p>
      <w:pPr>
        <w:tabs>
          <w:tab w:val="right" w:leader="dot" w:pos="9062"/>
        </w:tabs>
      </w:pPr>
      <w:hyperlink w:anchor="_Toc26" w:history="1">
        <w:r>
          <w:t>Annex - Ratings Definitions</w:t>
        </w:r>
        <w:r>
          <w:tab/>
        </w:r>
        <w:r>
          <w:fldChar w:fldCharType="begin"/>
        </w:r>
        <w:r>
          <w:instrText xml:space="preserve">PAGEREF 26 \h</w:instrText>
        </w:r>
        <w:r>
          <w:fldChar w:fldCharType="end"/>
        </w:r>
      </w:hyperlink>
    </w:p>
    <w:p>
      <w:r>
        <w:fldChar w:fldCharType="end"/>
      </w:r>
    </w:p>
    <w:p>
      <w:pPr>
        <w:sectPr>
          <w:headerReference w:type="default" r:id="rId12"/>
          <w:footerReference w:type="default" r:id="rId13"/>
          <w:pgSz w:orient="portrait" w:w="11905.511811023622" w:h="16837.79527559055"/>
          <w:pgMar w:top="1440" w:right="1440" w:bottom="1440" w:left="1440" w:header="720" w:footer="720" w:gutter="0"/>
          <w:cols w:num="1" w:space="720"/>
        </w:sectPr>
      </w:pPr>
    </w:p>
    <w:p>
      <w:pPr>
        <w:pStyle w:val="Heading1"/>
      </w:pPr>
      <w:bookmarkStart w:id="0" w:name="_Toc0"/>
      <w:r>
        <w:t>Basic Data</w:t>
      </w:r>
      <w:bookmarkEnd w:id="0"/>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Information</w:t>
            </w:r>
          </w:p>
        </w:tc>
      </w:tr>
      <w:tr>
        <w:trPr/>
        <w:tc>
          <w:tcPr>
            <w:tcW w:w="5000" w:type="dxa"/>
            <w:gridSpan w:val="1"/>
            <w:noWrap/>
          </w:tcPr>
          <w:p>
            <w:pPr/>
            <w:r>
              <w:rPr/>
              <w:t xml:space="preserve">UNDP PIMS ID</w:t>
            </w:r>
          </w:p>
        </w:tc>
        <w:tc>
          <w:tcPr>
            <w:tcW w:w="5000" w:type="dxa"/>
            <w:gridSpan w:val="1"/>
            <w:noWrap/>
          </w:tcPr>
          <w:p>
            <w:pPr/>
            <w:r>
              <w:rPr/>
              <w:t xml:space="preserve">6444</w:t>
            </w:r>
          </w:p>
        </w:tc>
      </w:tr>
      <w:tr>
        <w:trPr/>
        <w:tc>
          <w:tcPr>
            <w:tcW w:w="5000" w:type="dxa"/>
            <w:gridSpan w:val="1"/>
            <w:noWrap/>
          </w:tcPr>
          <w:p>
            <w:pPr/>
            <w:r>
              <w:rPr/>
              <w:t xml:space="preserve">GEF ID</w:t>
            </w:r>
          </w:p>
        </w:tc>
        <w:tc>
          <w:tcPr>
            <w:tcW w:w="5000" w:type="dxa"/>
            <w:gridSpan w:val="1"/>
            <w:noWrap/>
          </w:tcPr>
          <w:p>
            <w:pPr/>
            <w:r>
              <w:rPr/>
              <w:t xml:space="preserve">10692</w:t>
            </w:r>
          </w:p>
        </w:tc>
      </w:tr>
      <w:tr>
        <w:trPr/>
        <w:tc>
          <w:tcPr>
            <w:tcW w:w="5000" w:type="dxa"/>
            <w:gridSpan w:val="1"/>
            <w:noWrap/>
          </w:tcPr>
          <w:p>
            <w:pPr/>
            <w:r>
              <w:rPr/>
              <w:t xml:space="preserve">Title</w:t>
            </w:r>
          </w:p>
        </w:tc>
        <w:tc>
          <w:tcPr>
            <w:tcW w:w="5000" w:type="dxa"/>
            <w:gridSpan w:val="1"/>
            <w:noWrap/>
          </w:tcPr>
          <w:p>
            <w:pPr/>
            <w:r>
              <w:rPr/>
              <w:t xml:space="preserve">Integrated Community-based Management of High Value Mountain Ecosystems in Southern Kyrgyzstan for Multiple Benefits</w:t>
            </w:r>
          </w:p>
        </w:tc>
      </w:tr>
      <w:tr>
        <w:trPr/>
        <w:tc>
          <w:tcPr>
            <w:tcW w:w="5000" w:type="dxa"/>
            <w:gridSpan w:val="1"/>
            <w:noWrap/>
          </w:tcPr>
          <w:p>
            <w:pPr/>
            <w:r>
              <w:rPr/>
              <w:t xml:space="preserve">Country(ies)</w:t>
            </w:r>
          </w:p>
        </w:tc>
        <w:tc>
          <w:tcPr>
            <w:tcW w:w="5000" w:type="dxa"/>
            <w:gridSpan w:val="1"/>
            <w:noWrap/>
          </w:tcPr>
          <w:p>
            <w:pPr/>
            <w:r>
              <w:rPr/>
              <w:t xml:space="preserve">Kyrgyzstan, Kyrgyzstan</w:t>
            </w:r>
          </w:p>
        </w:tc>
      </w:tr>
      <w:tr>
        <w:trPr/>
        <w:tc>
          <w:tcPr>
            <w:tcW w:w="5000" w:type="dxa"/>
            <w:gridSpan w:val="1"/>
            <w:noWrap/>
          </w:tcPr>
          <w:p>
            <w:pPr/>
            <w:r>
              <w:rPr/>
              <w:t xml:space="preserve">UNDP Technical Team</w:t>
            </w:r>
          </w:p>
        </w:tc>
        <w:tc>
          <w:tcPr>
            <w:tcW w:w="5000" w:type="dxa"/>
            <w:gridSpan w:val="1"/>
            <w:noWrap/>
          </w:tcPr>
          <w:p>
            <w:pPr/>
            <w:r>
              <w:rPr/>
              <w:t xml:space="preserve">Ecosystems and Biodiversity</w:t>
            </w:r>
          </w:p>
        </w:tc>
      </w:tr>
      <w:tr>
        <w:trPr/>
        <w:tc>
          <w:tcPr>
            <w:tcW w:w="5000" w:type="dxa"/>
            <w:gridSpan w:val="1"/>
            <w:noWrap/>
          </w:tcPr>
          <w:p>
            <w:pPr/>
            <w:r>
              <w:rPr/>
              <w:t xml:space="preserve">Management Arrangements</w:t>
            </w:r>
          </w:p>
        </w:tc>
        <w:tc>
          <w:tcPr>
            <w:tcW w:w="5000" w:type="dxa"/>
            <w:gridSpan w:val="1"/>
            <w:noWrap/>
          </w:tcPr>
          <w:p>
            <w:pPr/>
            <w:r>
              <w:rPr/>
              <w:t xml:space="preserve">CO Support to NIM</w:t>
            </w:r>
          </w:p>
        </w:tc>
      </w:tr>
      <w:tr>
        <w:trPr/>
        <w:tc>
          <w:tcPr>
            <w:tcW w:w="5000" w:type="dxa"/>
            <w:gridSpan w:val="1"/>
            <w:noWrap/>
          </w:tcPr>
          <w:p>
            <w:pPr/>
            <w:r>
              <w:rPr/>
              <w:t xml:space="preserve">Project Implementing Partner</w:t>
            </w:r>
          </w:p>
        </w:tc>
        <w:tc>
          <w:tcPr>
            <w:tcW w:w="5000" w:type="dxa"/>
            <w:gridSpan w:val="1"/>
            <w:noWrap/>
          </w:tcPr>
          <w:p>
            <w:pPr/>
            <w:r>
              <w:rPr/>
              <w:t xml:space="preserve">Ministry of Natural Resources, Ecology and Technical Supervision of the Kyrgyz Republic</w:t>
            </w:r>
          </w:p>
        </w:tc>
      </w:tr>
      <w:tr>
        <w:trPr/>
        <w:tc>
          <w:tcPr>
            <w:tcW w:w="5000" w:type="dxa"/>
            <w:gridSpan w:val="1"/>
            <w:noWrap/>
          </w:tcPr>
          <w:p>
            <w:pPr/>
            <w:r>
              <w:rPr/>
              <w:t xml:space="preserve">Joint Agencies</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Project Type</w:t>
            </w:r>
          </w:p>
        </w:tc>
        <w:tc>
          <w:tcPr>
            <w:tcW w:w="5000" w:type="dxa"/>
            <w:gridSpan w:val="1"/>
            <w:noWrap/>
          </w:tcPr>
          <w:p>
            <w:pPr/>
            <w:r>
              <w:rPr/>
              <w:t xml:space="preserve">Full Size</w:t>
            </w:r>
          </w:p>
        </w:tc>
      </w:tr>
      <w:tr>
        <w:trPr/>
        <w:tc>
          <w:tcPr>
            <w:tcW w:w="5000" w:type="dxa"/>
            <w:gridSpan w:val="1"/>
            <w:noWrap/>
          </w:tcPr>
          <w:p>
            <w:pPr/>
            <w:r>
              <w:rPr/>
              <w:t xml:space="preserve">Implementation Status</w:t>
            </w:r>
          </w:p>
        </w:tc>
        <w:tc>
          <w:tcPr>
            <w:tcW w:w="5000" w:type="dxa"/>
            <w:gridSpan w:val="1"/>
            <w:noWrap/>
          </w:tcPr>
          <w:p>
            <w:pPr/>
            <w:r>
              <w:rPr/>
              <w:t xml:space="preserve">2nd PIR</w:t>
            </w:r>
          </w:p>
        </w:tc>
      </w:tr>
      <w:tr>
        <w:trPr/>
        <w:tc>
          <w:tcPr>
            <w:tcW w:w="5000" w:type="dxa"/>
            <w:gridSpan w:val="1"/>
            <w:noWrap/>
          </w:tcPr>
          <w:p>
            <w:pPr/>
            <w:r>
              <w:rPr/>
              <w:t xml:space="preserve">GEF Fiscal Year</w:t>
            </w:r>
          </w:p>
        </w:tc>
        <w:tc>
          <w:tcPr>
            <w:tcW w:w="5000" w:type="dxa"/>
            <w:gridSpan w:val="1"/>
            <w:noWrap/>
          </w:tcPr>
          <w:p>
            <w:pPr/>
            <w:r>
              <w:rPr/>
              <w:t xml:space="preserve">FY25</w:t>
            </w:r>
          </w:p>
        </w:tc>
      </w:tr>
      <w:tr>
        <w:trPr/>
        <w:tc>
          <w:tcPr>
            <w:tcW w:w="5000" w:type="dxa"/>
            <w:gridSpan w:val="1"/>
            <w:noWrap/>
          </w:tcPr>
          <w:p>
            <w:pPr/>
            <w:r>
              <w:rPr/>
              <w:t xml:space="preserve">Trust Fund</w:t>
            </w:r>
          </w:p>
        </w:tc>
        <w:tc>
          <w:tcPr>
            <w:tcW w:w="5000" w:type="dxa"/>
            <w:gridSpan w:val="1"/>
            <w:noWrap/>
          </w:tcPr>
          <w:p>
            <w:pPr/>
            <w:r>
              <w:rPr/>
              <w:t xml:space="preserve">GEF Trust Fund</w:t>
            </w:r>
          </w:p>
        </w:tc>
      </w:tr>
    </w:tbl>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Project Description</w:t>
            </w:r>
          </w:p>
        </w:tc>
      </w:tr>
      <w:tr>
        <w:trPr/>
        <w:tc>
          <w:tcPr>
            <w:tcW w:w="10000" w:type="dxa"/>
            <w:gridSpan w:val="1"/>
            <w:noWrap/>
          </w:tcPr>
          <w:p>
            <w:pPr/>
            <w:r>
              <w:rPr/>
              <w:t xml:space="preserve">The objective of the project is to secure high value mountain ecosystem biodiversity and associated ecosystem services, while ensuring resilient and sustainable livelihoods in Kyrgyzstan’s Pamir-Alai landscape. The project’s components have been designed to address key threats and corresponding barriers to sustainable land management and biodiversity conservation within mountain forest and pasture ecosystems including Key Biodiversity Areas (KBAs) found in Kyrgyzstan’s Pamir-Alai Mountain landscape. The project will deliver Global Environmental Benefits using a participatory approach that ensures promotion of women, youth and vulnerable groups and equitable participation opportunities. The project’s approach is closely linked with the Land Degradation Neutrality (LDN) conceptual framework, and the project applies the avoid-reduce-reverse principle. The “avoid” principle is applied through the strengthening management of PAs and improved spatial land use planning. The reduce principle is applied through improved forest and pasture management. The expected project results will be improved management and biodiversity conservation within 6 KBAs that cover 866,000 ha. The project will contribute to the establishment of 4 new national-level PAs covering 281,083.79 ha. Additionally, the project will support the improved management effectiveness of 5 national-level protected areas covering 153,250 ha. The project will improve the management of 563,949 hectares of high conservation value forest (HCVF) lands, including 500 hectares of degraded forest. The project will improve the management of 621,905 hectares of pastures, including 19,500 ha of degraded pastures. The project will improve livelihood benefits for 94,883 people, while improving the conservation status of globally significant biodiversity, and supporting Kyrgyzstan’s progress toward LDN.</w:t>
            </w:r>
          </w:p>
        </w:tc>
      </w:tr>
    </w:tbl>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Contacts</w:t>
            </w:r>
          </w:p>
        </w:tc>
      </w:tr>
      <w:tr>
        <w:trPr/>
        <w:tc>
          <w:tcPr>
            <w:tcW w:w="5000" w:type="dxa"/>
            <w:gridSpan w:val="1"/>
            <w:noWrap/>
          </w:tcPr>
          <w:p>
            <w:pPr/>
            <w:r>
              <w:rPr/>
              <w:t xml:space="preserve">UNDP BPPS Technical Advisor</w:t>
            </w:r>
          </w:p>
        </w:tc>
        <w:tc>
          <w:tcPr>
            <w:tcW w:w="5000" w:type="dxa"/>
            <w:gridSpan w:val="1"/>
            <w:noWrap/>
          </w:tcPr>
          <w:p>
            <w:pPr/>
            <w:r>
              <w:rPr/>
              <w:t xml:space="preserve">Ms. Monica Liana Moldovan (monica.moldovan@undp.org)</w:t>
            </w:r>
          </w:p>
        </w:tc>
      </w:tr>
      <w:tr>
        <w:trPr/>
        <w:tc>
          <w:tcPr>
            <w:tcW w:w="5000" w:type="dxa"/>
            <w:gridSpan w:val="1"/>
            <w:noWrap/>
          </w:tcPr>
          <w:p>
            <w:pPr/>
            <w:r>
              <w:rPr/>
              <w:t xml:space="preserve">UNDP BPPS Programme Associate</w:t>
            </w:r>
          </w:p>
        </w:tc>
        <w:tc>
          <w:tcPr>
            <w:tcW w:w="5000" w:type="dxa"/>
            <w:gridSpan w:val="1"/>
            <w:noWrap/>
          </w:tcPr>
          <w:p>
            <w:pPr/>
            <w:r>
              <w:rPr/>
              <w:t xml:space="preserve">Ms. Yeliz Oymen (yeliz.oymen@undp.org)</w:t>
            </w:r>
          </w:p>
        </w:tc>
      </w:tr>
      <w:tr>
        <w:trPr/>
        <w:tc>
          <w:tcPr>
            <w:tcW w:w="5000" w:type="dxa"/>
            <w:gridSpan w:val="1"/>
            <w:noWrap/>
          </w:tcPr>
          <w:p>
            <w:pPr/>
            <w:r>
              <w:rPr/>
              <w:t xml:space="preserve">UNDP BPPS SES Technical Advisor</w:t>
            </w:r>
          </w:p>
        </w:tc>
        <w:tc>
          <w:tcPr>
            <w:tcW w:w="5000" w:type="dxa"/>
            <w:gridSpan w:val="1"/>
            <w:noWrap/>
          </w:tcPr>
          <w:p>
            <w:pPr/>
            <w:r>
              <w:rPr/>
              <w:t xml:space="preserve">Mr. Jiri DUSIK (jiri.dusik@undp.org)</w:t>
            </w:r>
          </w:p>
        </w:tc>
      </w:tr>
      <w:tr>
        <w:trPr/>
        <w:tc>
          <w:tcPr>
            <w:tcW w:w="5000" w:type="dxa"/>
            <w:gridSpan w:val="1"/>
            <w:noWrap/>
          </w:tcPr>
          <w:p>
            <w:pPr/>
            <w:r>
              <w:rPr/>
              <w:t xml:space="preserve">Project Manager/Coordinator</w:t>
            </w:r>
          </w:p>
        </w:tc>
        <w:tc>
          <w:tcPr>
            <w:tcW w:w="5000" w:type="dxa"/>
            <w:gridSpan w:val="1"/>
            <w:noWrap/>
          </w:tcPr>
          <w:p>
            <w:pPr/>
            <w:r>
              <w:rPr/>
              <w:t xml:space="preserve">Umut Zholdoshova (umut.zholdoshova@undp.org)</w:t>
            </w:r>
          </w:p>
        </w:tc>
      </w:tr>
      <w:tr>
        <w:trPr/>
        <w:tc>
          <w:tcPr>
            <w:tcW w:w="5000" w:type="dxa"/>
            <w:gridSpan w:val="1"/>
            <w:noWrap/>
          </w:tcPr>
          <w:p>
            <w:pPr/>
            <w:r>
              <w:rPr/>
              <w:t xml:space="preserve">UNDP Country Office Programme Officer</w:t>
            </w:r>
          </w:p>
        </w:tc>
        <w:tc>
          <w:tcPr>
            <w:tcW w:w="5000" w:type="dxa"/>
            <w:gridSpan w:val="1"/>
            <w:noWrap/>
          </w:tcPr>
          <w:p>
            <w:pPr/>
            <w:r>
              <w:rPr/>
              <w:t xml:space="preserve">Ms. Lira ZHOLDUBAEVA (lira.zholdubaeva@undp.org)</w:t>
            </w:r>
          </w:p>
        </w:tc>
      </w:tr>
      <w:tr>
        <w:trPr/>
        <w:tc>
          <w:tcPr>
            <w:tcW w:w="5000" w:type="dxa"/>
            <w:gridSpan w:val="1"/>
            <w:noWrap/>
          </w:tcPr>
          <w:p>
            <w:pPr/>
            <w:r>
              <w:rPr/>
              <w:t xml:space="preserve">UNDP Country Office Deputy Resident Representative</w:t>
            </w:r>
          </w:p>
        </w:tc>
        <w:tc>
          <w:tcPr>
            <w:tcW w:w="5000" w:type="dxa"/>
            <w:gridSpan w:val="1"/>
            <w:noWrap/>
          </w:tcPr>
          <w:p>
            <w:pPr/>
            <w:r>
              <w:rPr/>
              <w:t xml:space="preserve">Ms. Alexandra SOLOVIEVA (alexandra.solovieva@undp.org)</w:t>
            </w:r>
          </w:p>
        </w:tc>
      </w:tr>
      <w:tr>
        <w:trPr/>
        <w:tc>
          <w:tcPr>
            <w:tcW w:w="5000" w:type="dxa"/>
            <w:gridSpan w:val="1"/>
            <w:noWrap/>
          </w:tcPr>
          <w:p>
            <w:pPr/>
            <w:r>
              <w:rPr/>
              <w:t xml:space="preserve">UNDP Regional Bureau Desk Officer</w:t>
            </w:r>
          </w:p>
        </w:tc>
        <w:tc>
          <w:tcPr>
            <w:tcW w:w="5000" w:type="dxa"/>
            <w:gridSpan w:val="1"/>
            <w:noWrap/>
          </w:tcPr>
          <w:p>
            <w:pPr/>
            <w:r>
              <w:rPr/>
              <w:t xml:space="preserve">Ms. Ozlem Altug (ozlem.altug@undp.org)</w:t>
            </w:r>
          </w:p>
        </w:tc>
      </w:tr>
      <w:tr>
        <w:trPr/>
        <w:tc>
          <w:tcPr>
            <w:tcW w:w="5000" w:type="dxa"/>
            <w:gridSpan w:val="1"/>
            <w:noWrap/>
          </w:tcPr>
          <w:p>
            <w:pPr/>
            <w:r>
              <w:rPr/>
              <w:t xml:space="preserve">GEF Operational Focal Point</w:t>
            </w:r>
          </w:p>
        </w:tc>
        <w:tc>
          <w:tcPr>
            <w:tcW w:w="5000" w:type="dxa"/>
            <w:gridSpan w:val="1"/>
            <w:noWrap/>
          </w:tcPr>
          <w:p>
            <w:pPr/>
            <w:r>
              <w:rPr/>
              <w:t xml:space="preserve">Mr. Mirslav Amankulov (nature_kg@mail.ru)</w:t>
            </w:r>
          </w:p>
        </w:tc>
      </w:tr>
      <w:tr>
        <w:trPr/>
        <w:tc>
          <w:tcPr>
            <w:tcW w:w="5000" w:type="dxa"/>
            <w:gridSpan w:val="1"/>
            <w:noWrap/>
          </w:tcPr>
          <w:p>
            <w:pPr/>
            <w:r>
              <w:rPr/>
              <w:t xml:space="preserve">Project Implementing Partner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Other Partners</w:t>
            </w:r>
          </w:p>
        </w:tc>
        <w:tc>
          <w:tcPr>
            <w:tcW w:w="5000" w:type="dxa"/>
            <w:gridSpan w:val="1"/>
            <w:noWrap/>
          </w:tcPr>
          <w:p>
            <w:pPr/>
            <w:r>
              <w:rPr/>
              <w:t xml:space="preserve">Mr. Koustubh Sharma</w:t>
            </w:r>
          </w:p>
          <w:p>
            <w:pPr/>
            <w:r>
              <w:rPr/>
              <w:t xml:space="preserve">Ms. Murat Zhumashev</w:t>
            </w:r>
          </w:p>
        </w:tc>
      </w:tr>
    </w:tbl>
    <w:p>
      <w:pPr>
        <w:sectPr>
          <w:pgSz w:orient="portrait" w:w="11905.511811023622" w:h="16837.79527559055"/>
          <w:pgMar w:top="1440" w:right="1440" w:bottom="1440" w:left="1440" w:header="720" w:footer="720" w:gutter="0"/>
          <w:cols w:num="1" w:space="720"/>
        </w:sectPr>
      </w:pPr>
    </w:p>
    <w:p>
      <w:pPr>
        <w:pStyle w:val="Heading1"/>
      </w:pPr>
      <w:bookmarkStart w:id="1" w:name="_Toc1"/>
      <w:r>
        <w:t>Key project dates</w:t>
      </w:r>
      <w:bookmarkEnd w:id="1"/>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Project duration</w:t>
            </w:r>
          </w:p>
        </w:tc>
        <w:tc>
          <w:tcPr>
            <w:tcW w:w="5000" w:type="dxa"/>
            <w:vAlign w:val="center"/>
            <w:gridSpan w:val="1"/>
            <w:noWrap/>
          </w:tcPr>
          <w:p>
            <w:pPr>
              <w:jc w:val="right"/>
            </w:pPr>
            <w:r>
              <w:rPr/>
              <w:t xml:space="preserve">60 months</w:t>
            </w:r>
          </w:p>
        </w:tc>
      </w:tr>
      <w:tr>
        <w:trPr/>
        <w:tc>
          <w:tcPr>
            <w:tcW w:w="5000" w:type="dxa"/>
            <w:gridSpan w:val="1"/>
            <w:noWrap/>
          </w:tcPr>
          <w:p>
            <w:pPr/>
            <w:r>
              <w:rPr/>
              <w:t xml:space="preserve">PIF Approval Date</w:t>
            </w:r>
          </w:p>
        </w:tc>
        <w:tc>
          <w:tcPr>
            <w:tcW w:w="5000" w:type="dxa"/>
            <w:vAlign w:val="center"/>
            <w:gridSpan w:val="1"/>
            <w:noWrap/>
          </w:tcPr>
          <w:p>
            <w:pPr>
              <w:jc w:val="right"/>
            </w:pPr>
            <w:r>
              <w:rPr/>
              <w:t xml:space="preserve">Dec 11, 2020</w:t>
            </w:r>
          </w:p>
        </w:tc>
      </w:tr>
      <w:tr>
        <w:trPr/>
        <w:tc>
          <w:tcPr>
            <w:tcW w:w="5000" w:type="dxa"/>
            <w:gridSpan w:val="1"/>
            <w:noWrap/>
          </w:tcPr>
          <w:p>
            <w:pPr/>
            <w:r>
              <w:rPr/>
              <w:t xml:space="preserve">CEO Endorsement Date</w:t>
            </w:r>
          </w:p>
        </w:tc>
        <w:tc>
          <w:tcPr>
            <w:tcW w:w="5000" w:type="dxa"/>
            <w:vAlign w:val="center"/>
            <w:gridSpan w:val="1"/>
            <w:noWrap/>
          </w:tcPr>
          <w:p>
            <w:pPr>
              <w:jc w:val="right"/>
            </w:pPr>
            <w:r>
              <w:rPr/>
              <w:t xml:space="preserve">Oct 24, 2022</w:t>
            </w:r>
          </w:p>
        </w:tc>
      </w:tr>
      <w:tr>
        <w:trPr/>
        <w:tc>
          <w:tcPr>
            <w:tcW w:w="5000" w:type="dxa"/>
            <w:gridSpan w:val="1"/>
            <w:noWrap/>
          </w:tcPr>
          <w:p>
            <w:pPr/>
            <w:r>
              <w:rPr/>
              <w:t xml:space="preserve">Project Document Signature Date (project start date):</w:t>
            </w:r>
          </w:p>
        </w:tc>
        <w:tc>
          <w:tcPr>
            <w:tcW w:w="5000" w:type="dxa"/>
            <w:vAlign w:val="center"/>
            <w:gridSpan w:val="1"/>
            <w:noWrap/>
          </w:tcPr>
          <w:p>
            <w:pPr>
              <w:jc w:val="right"/>
            </w:pPr>
            <w:r>
              <w:rPr/>
              <w:t xml:space="preserve">Nov 27, 2023</w:t>
            </w:r>
          </w:p>
        </w:tc>
      </w:tr>
      <w:tr>
        <w:trPr/>
        <w:tc>
          <w:tcPr>
            <w:tcW w:w="5000" w:type="dxa"/>
            <w:gridSpan w:val="1"/>
            <w:noWrap/>
          </w:tcPr>
          <w:p>
            <w:pPr/>
            <w:r>
              <w:rPr/>
              <w:t xml:space="preserve">Date of Inception Workshop</w:t>
            </w:r>
          </w:p>
        </w:tc>
        <w:tc>
          <w:tcPr>
            <w:tcW w:w="5000" w:type="dxa"/>
            <w:vAlign w:val="center"/>
            <w:gridSpan w:val="1"/>
            <w:noWrap/>
          </w:tcPr>
          <w:p>
            <w:pPr>
              <w:jc w:val="right"/>
            </w:pPr>
            <w:r>
              <w:rPr/>
              <w:t xml:space="preserve">Feb 28, 2024</w:t>
            </w:r>
          </w:p>
        </w:tc>
      </w:tr>
      <w:tr>
        <w:trPr/>
        <w:tc>
          <w:tcPr>
            <w:tcW w:w="5000" w:type="dxa"/>
            <w:gridSpan w:val="1"/>
            <w:noWrap/>
          </w:tcPr>
          <w:p>
            <w:pPr/>
            <w:r>
              <w:rPr/>
              <w:t xml:space="preserve">First Disbursement Date</w:t>
            </w:r>
          </w:p>
        </w:tc>
        <w:tc>
          <w:tcPr>
            <w:tcW w:w="5000" w:type="dxa"/>
            <w:vAlign w:val="center"/>
            <w:gridSpan w:val="1"/>
            <w:noWrap/>
          </w:tcPr>
          <w:p>
            <w:pPr>
              <w:jc w:val="right"/>
            </w:pPr>
            <w:r>
              <w:rPr/>
              <w:t xml:space="preserve">Oct 1, 2024</w:t>
            </w:r>
          </w:p>
        </w:tc>
      </w:tr>
      <w:tr>
        <w:trPr/>
        <w:tc>
          <w:tcPr>
            <w:tcW w:w="5000" w:type="dxa"/>
            <w:gridSpan w:val="1"/>
            <w:noWrap/>
          </w:tcPr>
          <w:p>
            <w:pPr/>
            <w:r>
              <w:rPr/>
              <w:t xml:space="preserve">Expected Date of Mid-term Review</w:t>
            </w:r>
          </w:p>
        </w:tc>
        <w:tc>
          <w:tcPr>
            <w:tcW w:w="5000" w:type="dxa"/>
            <w:vAlign w:val="center"/>
            <w:gridSpan w:val="1"/>
            <w:noWrap/>
          </w:tcPr>
          <w:p>
            <w:pPr>
              <w:jc w:val="right"/>
            </w:pPr>
            <w:r>
              <w:rPr/>
              <w:t xml:space="preserve">May 27, 2026</w:t>
            </w:r>
          </w:p>
        </w:tc>
      </w:tr>
      <w:tr>
        <w:trPr/>
        <w:tc>
          <w:tcPr>
            <w:tcW w:w="5000" w:type="dxa"/>
            <w:gridSpan w:val="1"/>
            <w:noWrap/>
          </w:tcPr>
          <w:p>
            <w:pPr/>
            <w:r>
              <w:rPr/>
              <w:t xml:space="preserve">Actual Date of Mid-term Review</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Expected Date of Terminal Evaluation</w:t>
            </w:r>
          </w:p>
        </w:tc>
        <w:tc>
          <w:tcPr>
            <w:tcW w:w="5000" w:type="dxa"/>
            <w:vAlign w:val="center"/>
            <w:gridSpan w:val="1"/>
            <w:noWrap/>
          </w:tcPr>
          <w:p>
            <w:pPr>
              <w:jc w:val="right"/>
            </w:pPr>
            <w:r>
              <w:rPr/>
              <w:t xml:space="preserve">Aug 27, 2028</w:t>
            </w:r>
          </w:p>
        </w:tc>
      </w:tr>
      <w:tr>
        <w:trPr/>
        <w:tc>
          <w:tcPr>
            <w:tcW w:w="5000" w:type="dxa"/>
            <w:gridSpan w:val="1"/>
            <w:noWrap/>
          </w:tcPr>
          <w:p>
            <w:pPr/>
            <w:r>
              <w:rPr/>
              <w:t xml:space="preserve">Original Planned Closing Date</w:t>
            </w:r>
          </w:p>
        </w:tc>
        <w:tc>
          <w:tcPr>
            <w:tcW w:w="5000" w:type="dxa"/>
            <w:vAlign w:val="center"/>
            <w:gridSpan w:val="1"/>
            <w:noWrap/>
          </w:tcPr>
          <w:p>
            <w:pPr>
              <w:jc w:val="right"/>
            </w:pPr>
            <w:r>
              <w:rPr/>
              <w:t xml:space="preserve">Nov 27, 2028</w:t>
            </w:r>
          </w:p>
        </w:tc>
      </w:tr>
      <w:tr>
        <w:trPr/>
        <w:tc>
          <w:tcPr>
            <w:tcW w:w="5000" w:type="dxa"/>
            <w:gridSpan w:val="1"/>
            <w:noWrap/>
          </w:tcPr>
          <w:p>
            <w:pPr/>
            <w:r>
              <w:rPr/>
              <w:t xml:space="preserve">Revised Planned Closing Date</w:t>
            </w:r>
          </w:p>
        </w:tc>
        <w:tc>
          <w:tcPr>
            <w:tcW w:w="5000" w:type="dxa"/>
            <w:vAlign w:val="center"/>
            <w:gridSpan w:val="1"/>
            <w:noWrap/>
          </w:tcPr>
          <w:p>
            <w:pPr>
              <w:jc w:val="right"/>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2" w:name="_Toc2"/>
      <w:r>
        <w:t>Overall ratings</w:t>
      </w:r>
      <w:bookmarkEnd w:id="2"/>
    </w:p>
    <w:tbl>
      <w:tblGrid>
        <w:gridCol w:w="8000" w:type="dxa"/>
        <w:gridCol w:w="8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8000" w:type="dxa"/>
            <w:gridSpan w:val="1"/>
            <w:noWrap/>
          </w:tcPr>
          <w:p>
            <w:pPr/>
            <w:r>
              <w:rPr/>
              <w:t xml:space="preserve">Overall DO Rating</w:t>
            </w:r>
          </w:p>
        </w:tc>
        <w:tc>
          <w:tcPr>
            <w:tcW w:w="8000" w:type="dxa"/>
            <w:gridSpan w:val="1"/>
            <w:noWrap/>
          </w:tcPr>
          <w:p>
            <w:pPr/>
            <w:r>
              <w:rPr/>
              <w:t xml:space="preserve">Moderately Satisfactory</w:t>
            </w:r>
          </w:p>
        </w:tc>
      </w:tr>
      <w:tr>
        <w:trPr/>
        <w:tc>
          <w:tcPr>
            <w:tcW w:w="8000" w:type="dxa"/>
            <w:gridSpan w:val="1"/>
            <w:noWrap/>
          </w:tcPr>
          <w:p>
            <w:pPr/>
            <w:r>
              <w:rPr/>
              <w:t xml:space="preserve">Overall IP Rating</w:t>
            </w:r>
          </w:p>
        </w:tc>
        <w:tc>
          <w:tcPr>
            <w:tcW w:w="8000" w:type="dxa"/>
            <w:gridSpan w:val="1"/>
            <w:noWrap/>
          </w:tcPr>
          <w:p>
            <w:pPr/>
            <w:r>
              <w:rPr/>
              <w:t xml:space="preserve">Moderately Satisfactory</w:t>
            </w:r>
          </w:p>
        </w:tc>
      </w:tr>
      <w:tr>
        <w:trPr/>
        <w:tc>
          <w:tcPr>
            <w:tcW w:w="8000" w:type="dxa"/>
            <w:gridSpan w:val="1"/>
            <w:noWrap/>
          </w:tcPr>
          <w:p>
            <w:pPr/>
            <w:r>
              <w:rPr/>
              <w:t xml:space="preserve">Overall Risk Rating</w:t>
            </w:r>
          </w:p>
        </w:tc>
        <w:tc>
          <w:tcPr>
            <w:tcW w:w="8000" w:type="dxa"/>
            <w:gridSpan w:val="1"/>
            <w:noWrap/>
          </w:tcPr>
          <w:p>
            <w:pPr/>
            <w:r>
              <w:rPr/>
              <w:t xml:space="preserve">low</w:t>
            </w:r>
          </w:p>
        </w:tc>
      </w:tr>
    </w:tbl>
    <w:p>
      <w:pPr>
        <w:sectPr>
          <w:pgSz w:orient="portrait" w:w="11905.511811023622" w:h="16837.79527559055"/>
          <w:pgMar w:top="1440" w:right="1440" w:bottom="1440" w:left="1440" w:header="720" w:footer="720" w:gutter="0"/>
          <w:cols w:num="1" w:space="720"/>
        </w:sectPr>
      </w:pPr>
    </w:p>
    <w:p>
      <w:pPr>
        <w:pStyle w:val="Heading1"/>
      </w:pPr>
      <w:bookmarkStart w:id="3" w:name="_Toc3"/>
      <w:r>
        <w:t>Procurement</w:t>
      </w:r>
      <w:bookmarkEnd w:id="3"/>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Question #1: CO Programme Officer -- Has the project experienced any procurement challenges during the reporting period, which may risk the completion of any critical activity within the approved project duration?</w:t>
            </w:r>
          </w:p>
          <w:p>
            <w:pPr/>
            <w:r>
              <w:rPr>
                <w:sz w:val="20"/>
                <w:szCs w:val="20"/>
                <w:i w:val="1"/>
                <w:iCs w:val="1"/>
              </w:rPr>
              <w:t xml:space="preserve">Procurement challenges can originate, for example, from delays in the planned initiation of key procurement processes, capacity gaps to develop technical requirements (TORs/specifications) or poor quality of these, procurement capacity gaps, none or very limited market response to tenders issued, evaluation delays, rejections/delays on reviews by procurement oversight committees, protests/complaints logged by bidders, incapacity of contractors to deliver on contractual terms, weak contract management, weak operational and/or maintenance plans developed, intellectual property right issues, etc.</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If yes, please (a) flag the challenge/s accordingly in the Quantum project risk register and (b) provide brief text on the nature of the challenge/s in the below text box.</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Question #2: BPPS Technical Advisor (RTA) -- What category of Procurement support does this project need? (choose one and provide justification)</w:t>
            </w:r>
          </w:p>
        </w:tc>
      </w:tr>
      <w:tr>
        <w:trPr/>
        <w:tc>
          <w:tcPr>
            <w:tcW w:w="10000" w:type="dxa"/>
            <w:gridSpan w:val="1"/>
            <w:noWrap/>
          </w:tcPr>
          <w:p>
            <w:pPr/>
            <w:r>
              <w:rPr/>
              <w:t xml:space="preserve">B) Notification of procurement challenges to the VF Hub Procurement Advisor (potential-to-be-serious issues)</w:t>
            </w:r>
          </w:p>
        </w:tc>
      </w:tr>
      <w:tr>
        <w:trPr/>
        <w:tc>
          <w:tcPr>
            <w:tcW w:w="10000" w:type="dxa"/>
            <w:shd w:val="clear" w:fill="#D9D9D9"/>
            <w:noWrap/>
          </w:tcPr>
          <w:p>
            <w:pPr/>
            <w:r>
              <w:rPr>
                <w:b w:val="1"/>
                <w:bCs w:val="1"/>
              </w:rPr>
              <w:t xml:space="preserve">If A) is selected please briefly describe the plan to manage this significant procurement challenge. (This response will be pulled into the PIMS+ Risk Dashboard)</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'Serious issues' include, for example, rejection of cases by CAP/RACP/ACP, vendor protests, procurement tenders recurrently resulting in no or low number of offers, recurrent contract variations / amendments, contracted values often exceeding budgeted allocations, OAI cases under investigation or completed, project extension granted/needed entailing significant procurement/contractual activities which need to be completed prior to project closure, serious procurement concerns reflected in NIM audits, etc.</w:t>
            </w:r>
          </w:p>
          <w:p>
            <w:pPr/>
            <w:r>
              <w:rPr>
                <w:b w:val="1"/>
                <w:bCs w:val="1"/>
              </w:rPr>
              <w:t xml:space="preserve"/>
            </w:r>
          </w:p>
          <w:p>
            <w:pPr/>
            <w:r>
              <w:rPr>
                <w:b w:val="1"/>
                <w:bCs w:val="1"/>
              </w:rPr>
              <w:t xml:space="preserve">'Potential to be serious' issues include, for example, lack of planning, few staff/personnel with procurement certification, long procurement processing timeframes, wrong procurement strategies adopted, limited knowledge/use of UNALL/Quantum, etc.</w:t>
            </w:r>
          </w:p>
          <w:p>
            <w:pPr/>
            <w:r>
              <w:rPr>
                <w:b w:val="1"/>
                <w:bCs w:val="1"/>
              </w:rPr>
              <w:t xml:space="preserve"/>
            </w:r>
          </w:p>
          <w:p>
            <w:pPr/>
            <w:r>
              <w:rPr>
                <w:b w:val="1"/>
                <w:bCs w:val="1"/>
              </w:rPr>
              <w:t xml:space="preserve">If B) is selected, please provide a brief description. If C) is selected, please add comments if needed.</w:t>
            </w:r>
          </w:p>
          <w:p>
            <w:pPr/>
            <w:r>
              <w:rPr>
                <w:i w:val="1"/>
                <w:iCs w:val="1"/>
              </w:rPr>
              <w:t xml:space="preserve">'Serious issues' include, for example, rejection of cases by CAP/RACP/ACP, vendor protests, procurement tenders recurrently resulting in no or low number of offers, recurrent contract variations / amendments, contracted values often exceeding budgeted allocations, OAI cases under investigation or completed, project extension granted/needed entailing significant procurement/contractual activities which need to be completed prior to project closure, serious procurement concerns reflected in NIM audits, etc.</w:t>
            </w:r>
          </w:p>
          <w:p/>
          <w:p/>
          <w:p>
            <w:pPr/>
            <w:r>
              <w:rPr>
                <w:i w:val="1"/>
                <w:iCs w:val="1"/>
              </w:rPr>
              <w:t xml:space="preserve">'Potential to be serious' issues include, for example, lack of planning, few staff/personnel with procurement certification, long procurement processing timeframes, wrong procurement strategies adopted, limited knowledge/use of UNALL/Quantum, etc.</w:t>
            </w:r>
          </w:p>
          <w:p>
            <w:pPr/>
            <w:r>
              <w:rPr/>
              <w:t xml:space="preserve"> </w:t>
            </w:r>
          </w:p>
          <w:p>
            <w:pPr/>
            <w:r>
              <w:rPr>
                <w:b w:val="1"/>
                <w:bCs w:val="1"/>
              </w:rPr>
              <w:t xml:space="preserve">If B) is selected, please provide a brief description. If C) is selected, please add comments if needed. </w:t>
            </w:r>
          </w:p>
        </w:tc>
      </w:tr>
      <w:tr>
        <w:trPr/>
        <w:tc>
          <w:tcPr>
            <w:tcW w:w="10000" w:type="dxa"/>
            <w:gridSpan w:val="1"/>
            <w:noWrap/>
          </w:tcPr>
          <w:p>
            <w:pPr/>
            <w:r>
              <w:rPr/>
              <w:t xml:space="preserve">Although the project didnt highlight procurement capacity needs, to get NbS from plan to ground, the project may need some targeted procurement support that addresses complexity of of field works.</w:t>
            </w:r>
          </w:p>
        </w:tc>
      </w:tr>
    </w:tbl>
    <w:p>
      <w:pPr>
        <w:sectPr>
          <w:pgSz w:orient="portrait" w:w="11905.511811023622" w:h="16837.79527559055"/>
          <w:pgMar w:top="1440" w:right="1440" w:bottom="1440" w:left="1440" w:header="720" w:footer="720" w:gutter="0"/>
          <w:cols w:num="1" w:space="720"/>
        </w:sectPr>
      </w:pPr>
    </w:p>
    <w:p>
      <w:pPr>
        <w:pStyle w:val="Heading1"/>
      </w:pPr>
      <w:bookmarkStart w:id="4" w:name="_Toc4"/>
      <w:r>
        <w:t>Nature Pledge</w:t>
      </w:r>
      <w:bookmarkEnd w:id="4"/>
    </w:p>
    <w:p>
      <w:pPr>
        <w:pStyle w:val="Heading2"/>
      </w:pPr>
      <w:bookmarkStart w:id="5" w:name="_Toc5"/>
      <w:r>
        <w:t>Contribution to the Nature Pledge</w:t>
      </w:r>
      <w:bookmarkEnd w:id="5"/>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Is this project and/or its results contributing to UNDP’s Nature Pledge*?</w:t>
            </w:r>
          </w:p>
          <w:p>
            <w:pPr/>
            <w:r>
              <w:rPr>
                <w:b w:val="1"/>
                <w:bCs w:val="1"/>
              </w:rPr>
              <w:t xml:space="preserve"/>
            </w:r>
          </w:p>
          <w:p>
            <w:pPr/>
            <w:r>
              <w:rPr/>
              <w:t xml:space="preserve">If 'Yes', please respond to the questions in the below 3 sections.</w:t>
            </w:r>
          </w:p>
          <w:p>
            <w:pPr/>
            <w:r>
              <w:rPr/>
              <w:t xml:space="preserve">If 'No', you may leave this section blank and move on to other parts of the PIR.</w:t>
            </w:r>
          </w:p>
        </w:tc>
      </w:tr>
      <w:tr>
        <w:trPr/>
        <w:tc>
          <w:tcPr>
            <w:tcW w:w="10000" w:type="dxa"/>
            <w:gridSpan w:val="1"/>
            <w:noWrap/>
          </w:tcPr>
          <w:p>
            <w:pPr/>
            <w:r>
              <w:rPr/>
              <w:t xml:space="preserve">Yes</w:t>
            </w:r>
          </w:p>
        </w:tc>
      </w:tr>
    </w:tbl>
    <w:p>
      <w:pPr>
        <w:pStyle w:val="Heading2"/>
      </w:pPr>
      <w:bookmarkStart w:id="6" w:name="_Toc6"/>
      <w:r>
        <w:t>1) Nature Pledge Alignment</w:t>
      </w:r>
      <w:bookmarkEnd w:id="6"/>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Narrative and Behavioral Shift: Valuing Nature</w:t>
            </w:r>
          </w:p>
        </w:tc>
      </w:tr>
      <w:tr>
        <w:trPr/>
        <w:tc>
          <w:tcPr>
            <w:tcW w:w="10000" w:type="dxa"/>
            <w:gridSpan w:val="1"/>
            <w:noWrap/>
          </w:tcPr>
          <w:p>
            <w:pPr/>
            <w:r>
              <w:rPr/>
              <w:t xml:space="preserve">Define and deploy new narratives to elevate nature to the heart of development to catalyze behavioral change in different economic sectors and societal segments.: No</w:t>
            </w:r>
          </w:p>
        </w:tc>
      </w:tr>
      <w:tr>
        <w:trPr/>
        <w:tc>
          <w:tcPr>
            <w:tcW w:w="10000" w:type="dxa"/>
            <w:gridSpan w:val="1"/>
            <w:noWrap/>
          </w:tcPr>
          <w:p>
            <w:pPr/>
            <w:r>
              <w:rPr/>
              <w:t xml:space="preserve">Catalyze rapid global behavior shifts through increased accountability, strengthened deterrence, and empowered communities, especially indigenous people and local communities and women and women’s groups.: Yes</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Economic and Finance Shift: Accounting for Nature</w:t>
            </w:r>
          </w:p>
        </w:tc>
      </w:tr>
      <w:tr>
        <w:trPr/>
        <w:tc>
          <w:tcPr>
            <w:tcW w:w="10000" w:type="dxa"/>
            <w:gridSpan w:val="1"/>
            <w:noWrap/>
          </w:tcPr>
          <w:p>
            <w:pPr/>
            <w:r>
              <w:rPr/>
              <w:t xml:space="preserve">Accelerate adoption of tailored economic, fiscal, and monetary policies, tools and plans.: No</w:t>
            </w:r>
          </w:p>
        </w:tc>
      </w:tr>
      <w:tr>
        <w:trPr/>
        <w:tc>
          <w:tcPr>
            <w:tcW w:w="10000" w:type="dxa"/>
            <w:gridSpan w:val="1"/>
            <w:noWrap/>
          </w:tcPr>
          <w:p>
            <w:pPr/>
            <w:r>
              <w:rPr/>
              <w:t xml:space="preserve">Implement biodiversity finance solutions, in line with national and sub-national development and recovery programmes, including reduction of nature negative public finance.: No</w:t>
            </w:r>
          </w:p>
        </w:tc>
      </w:tr>
      <w:tr>
        <w:trPr/>
        <w:tc>
          <w:tcPr>
            <w:tcW w:w="10000" w:type="dxa"/>
            <w:gridSpan w:val="1"/>
            <w:noWrap/>
          </w:tcPr>
          <w:p>
            <w:pPr/>
            <w:r>
              <w:rPr/>
              <w:t xml:space="preserve">Mobilize and upscale private investment in nature-positive actions, while reducing financing of nature-negative business processes.: Yes</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Policy and Practice Shift: Harnessing the Power of Nature</w:t>
            </w:r>
          </w:p>
        </w:tc>
      </w:tr>
      <w:tr>
        <w:trPr/>
        <w:tc>
          <w:tcPr>
            <w:tcW w:w="10000" w:type="dxa"/>
            <w:gridSpan w:val="1"/>
            <w:noWrap/>
          </w:tcPr>
          <w:p>
            <w:pPr/>
            <w:r>
              <w:rPr/>
              <w:t xml:space="preserve">Strengthen national capacity for GBF implementation and policy coherence.: Yes</w:t>
            </w:r>
          </w:p>
        </w:tc>
      </w:tr>
      <w:tr>
        <w:trPr/>
        <w:tc>
          <w:tcPr>
            <w:tcW w:w="10000" w:type="dxa"/>
            <w:gridSpan w:val="1"/>
            <w:noWrap/>
          </w:tcPr>
          <w:p>
            <w:pPr/>
            <w:r>
              <w:rPr/>
              <w:t xml:space="preserve">Mainstream nature into development, production sectors and spatial policy, planning and practice.: Yes</w:t>
            </w:r>
          </w:p>
        </w:tc>
      </w:tr>
      <w:tr>
        <w:trPr/>
        <w:tc>
          <w:tcPr>
            <w:tcW w:w="10000" w:type="dxa"/>
            <w:gridSpan w:val="1"/>
            <w:noWrap/>
          </w:tcPr>
          <w:p>
            <w:pPr/>
            <w:r>
              <w:rPr/>
              <w:t xml:space="preserve">Upscale gender responsive nature-based solutions targeting climate action, poverty reduction and inclusive growth, job creation, disaster and conflict prevention and pandemic prevention.: Yes</w:t>
            </w:r>
          </w:p>
        </w:tc>
      </w:tr>
      <w:tr>
        <w:trPr/>
        <w:tc>
          <w:tcPr>
            <w:tcW w:w="10000" w:type="dxa"/>
            <w:gridSpan w:val="1"/>
            <w:noWrap/>
          </w:tcPr>
          <w:p>
            <w:pPr/>
            <w:r>
              <w:rPr/>
              <w:t xml:space="preserve">Strengthen coverage and management of terrestrial and marine protected and conserved areas including indigenous and community conserved areas.: Yes</w:t>
            </w:r>
          </w:p>
        </w:tc>
      </w:tr>
      <w:tr>
        <w:trPr/>
        <w:tc>
          <w:tcPr>
            <w:tcW w:w="10000" w:type="dxa"/>
            <w:gridSpan w:val="1"/>
            <w:noWrap/>
          </w:tcPr>
          <w:p>
            <w:pPr/>
            <w:r>
              <w:rPr/>
              <w:t xml:space="preserve">Accelerate and upscale ecosystem restoration and sustainable land and water management.: Yes</w:t>
            </w:r>
          </w:p>
        </w:tc>
      </w:tr>
    </w:tbl>
    <w:p>
      <w:pPr>
        <w:pStyle w:val="Heading2"/>
      </w:pPr>
      <w:bookmarkStart w:id="7" w:name="_Toc7"/>
      <w:r>
        <w:t>2) Measuring Nature Pledge Results</w:t>
      </w:r>
      <w:bookmarkEnd w:id="7"/>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a) Number of advocacy and communication campaigns launched to elevate the value of Nature across economic sectors and societal groups, and to catalyze awareness and behavioral change.</w:t>
            </w:r>
          </w:p>
        </w:tc>
      </w:tr>
      <w:tr>
        <w:trPr/>
        <w:tc>
          <w:tcPr>
            <w:tcW w:w="10000" w:type="dxa"/>
            <w:gridSpan w:val="1"/>
            <w:noWrap/>
          </w:tcPr>
          <w:p>
            <w:pPr/>
            <w:r>
              <w:rPr/>
              <w:t xml:space="preserve">Applicable</w:t>
            </w:r>
          </w:p>
        </w:tc>
      </w:tr>
      <w:tr>
        <w:trPr/>
        <w:tc>
          <w:tcPr>
            <w:tcW w:w="10000" w:type="dxa"/>
            <w:shd w:val="clear" w:fill="#D9D9D9"/>
            <w:noWrap/>
          </w:tcPr>
          <w:p>
            <w:pPr/>
            <w:r>
              <w:rPr>
                <w:b w:val="1"/>
                <w:bCs w:val="1"/>
              </w:rPr>
              <w:t xml:space="preserve">a) If applicable, provide number</w:t>
            </w:r>
          </w:p>
        </w:tc>
      </w:tr>
      <w:tr>
        <w:trPr/>
        <w:tc>
          <w:tcPr>
            <w:tcW w:w="10000" w:type="dxa"/>
            <w:gridSpan w:val="1"/>
            <w:noWrap/>
          </w:tcPr>
          <w:p>
            <w:pPr/>
            <w:r>
              <w:rPr/>
              <w:t xml:space="preserve">1</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 Number of major non-environment sectors or constituencies where Nature has been mainstreamed in deliverables such as conference decisions, outcome documents or official reports.</w:t>
            </w:r>
          </w:p>
        </w:tc>
      </w:tr>
      <w:tr>
        <w:trPr/>
        <w:tc>
          <w:tcPr>
            <w:tcW w:w="10000" w:type="dxa"/>
            <w:gridSpan w:val="1"/>
            <w:noWrap/>
          </w:tcPr>
          <w:p>
            <w:pPr/>
            <w:r>
              <w:rPr/>
              <w:t xml:space="preserve">Applicable</w:t>
            </w:r>
          </w:p>
        </w:tc>
      </w:tr>
      <w:tr>
        <w:trPr/>
        <w:tc>
          <w:tcPr>
            <w:tcW w:w="10000" w:type="dxa"/>
            <w:shd w:val="clear" w:fill="#D9D9D9"/>
            <w:noWrap/>
          </w:tcPr>
          <w:p>
            <w:pPr/>
            <w:r>
              <w:rPr>
                <w:b w:val="1"/>
                <w:bCs w:val="1"/>
              </w:rPr>
              <w:t xml:space="preserve">b) If applicable, provide number</w:t>
            </w:r>
          </w:p>
        </w:tc>
      </w:tr>
      <w:tr>
        <w:trPr/>
        <w:tc>
          <w:tcPr>
            <w:tcW w:w="10000" w:type="dxa"/>
            <w:gridSpan w:val="1"/>
            <w:noWrap/>
          </w:tcPr>
          <w:p>
            <w:pPr/>
            <w:r>
              <w:rPr/>
              <w:t xml:space="preserve">0</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 Did the project support development or strengthening of governance systems at national, sub-national, or local levels to help operationalize and protect the right to a clean, healthy, and sustainable environment?</w:t>
            </w:r>
          </w:p>
        </w:tc>
      </w:tr>
      <w:tr>
        <w:trPr/>
        <w:tc>
          <w:tcPr>
            <w:tcW w:w="10000" w:type="dxa"/>
            <w:gridSpan w:val="1"/>
            <w:noWrap/>
          </w:tcPr>
          <w:p>
            <w:pPr/>
            <w:r>
              <w:rPr/>
              <w:t xml:space="preserve">Not Applicable</w:t>
            </w:r>
          </w:p>
        </w:tc>
      </w:tr>
      <w:tr>
        <w:trPr/>
        <w:tc>
          <w:tcPr>
            <w:tcW w:w="10000" w:type="dxa"/>
            <w:shd w:val="clear" w:fill="#D9D9D9"/>
            <w:noWrap/>
          </w:tcPr>
          <w:p>
            <w:pPr/>
            <w:r>
              <w:rPr>
                <w:b w:val="1"/>
                <w:bCs w:val="1"/>
              </w:rPr>
              <w:t xml:space="preserve">c) If applicable, please select Yes or No</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d) Number of legal instruments (laws, policies, regulations, etc.) supported to mitigate and/or reduce nature degradation, or whose enforcement is strengthened at national, sub-national or local levels.</w:t>
            </w:r>
          </w:p>
          <w:p>
            <w:pPr/>
            <w:r>
              <w:rPr>
                <w:b w:val="1"/>
                <w:bCs w:val="1"/>
              </w:rPr>
              <w:t xml:space="preserve"/>
            </w:r>
          </w:p>
        </w:tc>
      </w:tr>
      <w:tr>
        <w:trPr/>
        <w:tc>
          <w:tcPr>
            <w:tcW w:w="10000" w:type="dxa"/>
            <w:gridSpan w:val="1"/>
            <w:noWrap/>
          </w:tcPr>
          <w:p>
            <w:pPr/>
            <w:r>
              <w:rPr/>
              <w:t xml:space="preserve">Applicable</w:t>
            </w:r>
          </w:p>
        </w:tc>
      </w:tr>
      <w:tr>
        <w:trPr/>
        <w:tc>
          <w:tcPr>
            <w:tcW w:w="10000" w:type="dxa"/>
            <w:shd w:val="clear" w:fill="#D9D9D9"/>
            <w:noWrap/>
          </w:tcPr>
          <w:p>
            <w:pPr/>
            <w:r>
              <w:rPr>
                <w:b w:val="1"/>
                <w:bCs w:val="1"/>
              </w:rPr>
              <w:t xml:space="preserve">d) If applicable, provide number</w:t>
            </w:r>
          </w:p>
        </w:tc>
      </w:tr>
      <w:tr>
        <w:trPr/>
        <w:tc>
          <w:tcPr>
            <w:tcW w:w="10000" w:type="dxa"/>
            <w:gridSpan w:val="1"/>
            <w:noWrap/>
          </w:tcPr>
          <w:p>
            <w:pPr/>
            <w:r>
              <w:rPr>
                <w:i w:val="1"/>
                <w:iCs w:val="1"/>
              </w:rPr>
              <w:t xml:space="preserve">(not set or not applicable)</w:t>
            </w:r>
          </w:p>
        </w:tc>
      </w:tr>
      <w:tr>
        <w:trPr/>
        <w:tc>
          <w:tcPr>
            <w:tcW w:w="10000" w:type="dxa"/>
            <w:gridSpan w:val="1"/>
            <w:noWrap/>
          </w:tcPr>
          <w:p>
            <w:pPr/>
            <w:r>
              <w:rPr/>
              <w:t xml:space="preserve">1</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e) Did the project directly or indirectly support in the closing the biodiversity finance gaps?</w:t>
            </w:r>
          </w:p>
        </w:tc>
      </w:tr>
      <w:tr>
        <w:trPr/>
        <w:tc>
          <w:tcPr>
            <w:tcW w:w="10000" w:type="dxa"/>
            <w:gridSpan w:val="1"/>
            <w:noWrap/>
          </w:tcPr>
          <w:p>
            <w:pPr/>
            <w:r>
              <w:rPr/>
              <w:t xml:space="preserve">Not Applicable</w:t>
            </w:r>
          </w:p>
        </w:tc>
      </w:tr>
      <w:tr>
        <w:trPr/>
        <w:tc>
          <w:tcPr>
            <w:tcW w:w="10000" w:type="dxa"/>
            <w:shd w:val="clear" w:fill="#D9D9D9"/>
            <w:noWrap/>
          </w:tcPr>
          <w:p>
            <w:pPr/>
            <w:r>
              <w:rPr>
                <w:b w:val="1"/>
                <w:bCs w:val="1"/>
              </w:rPr>
              <w:t xml:space="preserve">e) If applicable, please select Yes or No</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f) Amount of biodiversity finance mobilized or catalyzed from public and private sources (in USD). (Here, biodiversity finance refers not only to Protected Area financing but also other Nature-positive finance flows, including those directed towards water security, food security, drought resilience, adaptation, agriculture etc.)</w:t>
            </w:r>
          </w:p>
        </w:tc>
      </w:tr>
      <w:tr>
        <w:trPr/>
        <w:tc>
          <w:tcPr>
            <w:tcW w:w="10000" w:type="dxa"/>
            <w:gridSpan w:val="1"/>
            <w:noWrap/>
          </w:tcPr>
          <w:p>
            <w:pPr/>
            <w:r>
              <w:rPr/>
              <w:t xml:space="preserve">Not Applicable</w:t>
            </w:r>
          </w:p>
        </w:tc>
      </w:tr>
      <w:tr>
        <w:trPr/>
        <w:tc>
          <w:tcPr>
            <w:tcW w:w="10000" w:type="dxa"/>
            <w:shd w:val="clear" w:fill="#D9D9D9"/>
            <w:noWrap/>
          </w:tcPr>
          <w:p>
            <w:pPr/>
            <w:r>
              <w:rPr>
                <w:b w:val="1"/>
                <w:bCs w:val="1"/>
              </w:rPr>
              <w:t xml:space="preserve">f) If applicable, provide the amount in USD of biodiversity finance mobilized or catalyzed from public and private sources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g) Did the project directly or indirectly support the creation of a subsidy repurposing plan?</w:t>
            </w:r>
          </w:p>
        </w:tc>
      </w:tr>
      <w:tr>
        <w:trPr/>
        <w:tc>
          <w:tcPr>
            <w:tcW w:w="10000" w:type="dxa"/>
            <w:gridSpan w:val="1"/>
            <w:noWrap/>
          </w:tcPr>
          <w:p>
            <w:pPr/>
            <w:r>
              <w:rPr/>
              <w:t xml:space="preserve">Not Applicable</w:t>
            </w:r>
          </w:p>
        </w:tc>
      </w:tr>
      <w:tr>
        <w:trPr/>
        <w:tc>
          <w:tcPr>
            <w:tcW w:w="10000" w:type="dxa"/>
            <w:shd w:val="clear" w:fill="#D9D9D9"/>
            <w:noWrap/>
          </w:tcPr>
          <w:p>
            <w:pPr/>
            <w:r>
              <w:rPr>
                <w:b w:val="1"/>
                <w:bCs w:val="1"/>
              </w:rPr>
              <w:t xml:space="preserve">g) If applicable, please select Yes or No</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h) Amount of Nature harmful subsidies redirected, repurposed and/or eliminated as direct or indirect result of UNDP support (in USD).</w:t>
            </w:r>
          </w:p>
        </w:tc>
      </w:tr>
      <w:tr>
        <w:trPr/>
        <w:tc>
          <w:tcPr>
            <w:tcW w:w="10000" w:type="dxa"/>
            <w:gridSpan w:val="1"/>
            <w:noWrap/>
          </w:tcPr>
          <w:p>
            <w:pPr/>
            <w:r>
              <w:rPr/>
              <w:t xml:space="preserve">Not Applicable</w:t>
            </w:r>
          </w:p>
        </w:tc>
      </w:tr>
      <w:tr>
        <w:trPr/>
        <w:tc>
          <w:tcPr>
            <w:tcW w:w="10000" w:type="dxa"/>
            <w:shd w:val="clear" w:fill="#D9D9D9"/>
            <w:noWrap/>
          </w:tcPr>
          <w:p>
            <w:pPr/>
            <w:r>
              <w:rPr>
                <w:b w:val="1"/>
                <w:bCs w:val="1"/>
              </w:rPr>
              <w:t xml:space="preserve">h) If applicable, provide amount in USD</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i) Amount of asset size of major listed companies that are supported by the project to disclose information aligned with standards in Taskforce for Nature-Related Financial Disclosures (TNFD) framework.</w:t>
            </w:r>
          </w:p>
        </w:tc>
      </w:tr>
      <w:tr>
        <w:trPr/>
        <w:tc>
          <w:tcPr>
            <w:tcW w:w="10000" w:type="dxa"/>
            <w:gridSpan w:val="1"/>
            <w:noWrap/>
          </w:tcPr>
          <w:p>
            <w:pPr/>
            <w:r>
              <w:rPr/>
              <w:t xml:space="preserve">Not Applicable</w:t>
            </w:r>
          </w:p>
        </w:tc>
      </w:tr>
      <w:tr>
        <w:trPr/>
        <w:tc>
          <w:tcPr>
            <w:tcW w:w="10000" w:type="dxa"/>
            <w:shd w:val="clear" w:fill="#D9D9D9"/>
            <w:noWrap/>
          </w:tcPr>
          <w:p>
            <w:pPr/>
            <w:r>
              <w:rPr>
                <w:b w:val="1"/>
                <w:bCs w:val="1"/>
              </w:rPr>
              <w:t xml:space="preserve">i) if applicable, provide amount in USD</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j) Amount of asset size of major listed companies that are supported by the project to disclose information aligned with standards in Taskforce for Nature-Related Financial Disclosures (TNFD) framework.</w:t>
            </w:r>
          </w:p>
        </w:tc>
      </w:tr>
      <w:tr>
        <w:trPr/>
        <w:tc>
          <w:tcPr>
            <w:tcW w:w="10000" w:type="dxa"/>
            <w:gridSpan w:val="1"/>
            <w:noWrap/>
          </w:tcPr>
          <w:p>
            <w:pPr/>
            <w:r>
              <w:rPr/>
              <w:t xml:space="preserve">Not Applicable</w:t>
            </w:r>
          </w:p>
        </w:tc>
      </w:tr>
      <w:tr>
        <w:trPr/>
        <w:tc>
          <w:tcPr>
            <w:tcW w:w="10000" w:type="dxa"/>
            <w:shd w:val="clear" w:fill="#D9D9D9"/>
            <w:noWrap/>
          </w:tcPr>
          <w:p>
            <w:pPr/>
            <w:r>
              <w:rPr>
                <w:b w:val="1"/>
                <w:bCs w:val="1"/>
              </w:rPr>
              <w:t xml:space="preserve">j) If applicable, provide amount in USD</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k) Did the project support the mainstreaming of Nature into national development plans, spatial and sectoral plans and related gender strategies?</w:t>
            </w:r>
          </w:p>
        </w:tc>
      </w:tr>
      <w:tr>
        <w:trPr/>
        <w:tc>
          <w:tcPr>
            <w:tcW w:w="10000" w:type="dxa"/>
            <w:gridSpan w:val="1"/>
            <w:noWrap/>
          </w:tcPr>
          <w:p>
            <w:pPr/>
            <w:r>
              <w:rPr/>
              <w:t xml:space="preserve">Applicable</w:t>
            </w:r>
          </w:p>
        </w:tc>
      </w:tr>
      <w:tr>
        <w:trPr/>
        <w:tc>
          <w:tcPr>
            <w:tcW w:w="10000" w:type="dxa"/>
            <w:shd w:val="clear" w:fill="#D9D9D9"/>
            <w:noWrap/>
          </w:tcPr>
          <w:p>
            <w:pPr/>
            <w:r>
              <w:rPr>
                <w:b w:val="1"/>
                <w:bCs w:val="1"/>
              </w:rPr>
              <w:t xml:space="preserve">k) If applicable, please select Yes or No</w:t>
            </w:r>
          </w:p>
        </w:tc>
      </w:tr>
      <w:tr>
        <w:trPr/>
        <w:tc>
          <w:tcPr>
            <w:tcW w:w="10000" w:type="dxa"/>
            <w:gridSpan w:val="1"/>
            <w:noWrap/>
          </w:tcPr>
          <w:p>
            <w:pPr/>
            <w:r>
              <w:rPr/>
              <w:t xml:space="preserve">Yes</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l)Did the project support women’s leadership in natural resource management and close gender gaps in access to and control over natural resources?</w:t>
            </w:r>
          </w:p>
        </w:tc>
      </w:tr>
      <w:tr>
        <w:trPr/>
        <w:tc>
          <w:tcPr>
            <w:tcW w:w="10000" w:type="dxa"/>
            <w:gridSpan w:val="1"/>
            <w:noWrap/>
          </w:tcPr>
          <w:p>
            <w:pPr/>
            <w:r>
              <w:rPr/>
              <w:t xml:space="preserve">Applicable</w:t>
            </w:r>
          </w:p>
        </w:tc>
      </w:tr>
      <w:tr>
        <w:trPr/>
        <w:tc>
          <w:tcPr>
            <w:tcW w:w="10000" w:type="dxa"/>
            <w:shd w:val="clear" w:fill="#D9D9D9"/>
            <w:noWrap/>
          </w:tcPr>
          <w:p>
            <w:pPr/>
            <w:r>
              <w:rPr>
                <w:b w:val="1"/>
                <w:bCs w:val="1"/>
              </w:rPr>
              <w:t xml:space="preserve">l) If applicable, please select Yes or No</w:t>
            </w:r>
          </w:p>
        </w:tc>
      </w:tr>
      <w:tr>
        <w:trPr/>
        <w:tc>
          <w:tcPr>
            <w:tcW w:w="10000" w:type="dxa"/>
            <w:gridSpan w:val="1"/>
            <w:noWrap/>
          </w:tcPr>
          <w:p>
            <w:pPr/>
            <w:r>
              <w:rPr/>
              <w:t xml:space="preserve">No</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m) Hectares of terrestrial ecosystems supported with improved management and/or protection, including protected areas, OECM and other conserved areas*.</w:t>
            </w:r>
          </w:p>
        </w:tc>
      </w:tr>
      <w:tr>
        <w:trPr/>
        <w:tc>
          <w:tcPr>
            <w:tcW w:w="10000" w:type="dxa"/>
            <w:gridSpan w:val="1"/>
            <w:noWrap/>
          </w:tcPr>
          <w:p>
            <w:pPr/>
            <w:r>
              <w:rPr/>
              <w:t xml:space="preserve">Applicable</w:t>
            </w:r>
          </w:p>
        </w:tc>
      </w:tr>
      <w:tr>
        <w:trPr/>
        <w:tc>
          <w:tcPr>
            <w:tcW w:w="10000" w:type="dxa"/>
            <w:shd w:val="clear" w:fill="#D9D9D9"/>
            <w:noWrap/>
          </w:tcPr>
          <w:p>
            <w:pPr/>
            <w:r>
              <w:rPr>
                <w:b w:val="1"/>
                <w:bCs w:val="1"/>
              </w:rPr>
              <w:t xml:space="preserve">m) If applicable, provide number of hectares</w:t>
            </w:r>
          </w:p>
        </w:tc>
      </w:tr>
      <w:tr>
        <w:trPr/>
        <w:tc>
          <w:tcPr>
            <w:tcW w:w="10000" w:type="dxa"/>
            <w:gridSpan w:val="1"/>
            <w:noWrap/>
          </w:tcPr>
          <w:p>
            <w:pPr/>
            <w:r>
              <w:rPr/>
              <w:t xml:space="preserve">0</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n) Hectares of landscapes (excluding protected areas) and production systems under sustainable management*.</w:t>
            </w:r>
          </w:p>
        </w:tc>
      </w:tr>
      <w:tr>
        <w:trPr/>
        <w:tc>
          <w:tcPr>
            <w:tcW w:w="10000" w:type="dxa"/>
            <w:gridSpan w:val="1"/>
            <w:noWrap/>
          </w:tcPr>
          <w:p>
            <w:pPr/>
            <w:r>
              <w:rPr/>
              <w:t xml:space="preserve">Applicable</w:t>
            </w:r>
          </w:p>
        </w:tc>
      </w:tr>
      <w:tr>
        <w:trPr/>
        <w:tc>
          <w:tcPr>
            <w:tcW w:w="10000" w:type="dxa"/>
            <w:shd w:val="clear" w:fill="#D9D9D9"/>
            <w:noWrap/>
          </w:tcPr>
          <w:p>
            <w:pPr/>
            <w:r>
              <w:rPr>
                <w:b w:val="1"/>
                <w:bCs w:val="1"/>
              </w:rPr>
              <w:t xml:space="preserve">n) If applicable, provide the number of hectares</w:t>
            </w:r>
          </w:p>
        </w:tc>
      </w:tr>
      <w:tr>
        <w:trPr/>
        <w:tc>
          <w:tcPr>
            <w:tcW w:w="10000" w:type="dxa"/>
            <w:gridSpan w:val="1"/>
            <w:noWrap/>
          </w:tcPr>
          <w:p>
            <w:pPr/>
            <w:r>
              <w:rPr/>
              <w:t xml:space="preserve">0</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o) Hectares of marine ecosystems supported with improved management and/or protection, including OECMs, Locally Managed Marine Areas (LMEs), and other conserved areas*.</w:t>
            </w:r>
          </w:p>
        </w:tc>
      </w:tr>
      <w:tr>
        <w:trPr/>
        <w:tc>
          <w:tcPr>
            <w:tcW w:w="10000" w:type="dxa"/>
            <w:gridSpan w:val="1"/>
            <w:noWrap/>
          </w:tcPr>
          <w:p>
            <w:pPr/>
            <w:r>
              <w:rPr/>
              <w:t xml:space="preserve">Not Applicable</w:t>
            </w:r>
          </w:p>
        </w:tc>
      </w:tr>
      <w:tr>
        <w:trPr/>
        <w:tc>
          <w:tcPr>
            <w:tcW w:w="10000" w:type="dxa"/>
            <w:shd w:val="clear" w:fill="#D9D9D9"/>
            <w:noWrap/>
          </w:tcPr>
          <w:p>
            <w:pPr/>
            <w:r>
              <w:rPr>
                <w:b w:val="1"/>
                <w:bCs w:val="1"/>
              </w:rPr>
              <w:t xml:space="preserve">o) If applicable, provide the number of hectares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p) Shared water ecosystems under new or improved cooperative management. *</w:t>
            </w:r>
          </w:p>
        </w:tc>
      </w:tr>
      <w:tr>
        <w:trPr/>
        <w:tc>
          <w:tcPr>
            <w:tcW w:w="10000" w:type="dxa"/>
            <w:gridSpan w:val="1"/>
            <w:noWrap/>
          </w:tcPr>
          <w:p>
            <w:pPr/>
            <w:r>
              <w:rPr/>
              <w:t xml:space="preserve">Not Applicable</w:t>
            </w:r>
          </w:p>
        </w:tc>
      </w:tr>
      <w:tr>
        <w:trPr/>
        <w:tc>
          <w:tcPr>
            <w:tcW w:w="10000" w:type="dxa"/>
            <w:shd w:val="clear" w:fill="#D9D9D9"/>
            <w:noWrap/>
          </w:tcPr>
          <w:p>
            <w:pPr/>
            <w:r>
              <w:rPr>
                <w:b w:val="1"/>
                <w:bCs w:val="1"/>
              </w:rPr>
              <w:t xml:space="preserve">p) If applicable, provide the number of shared water systems under new or improved cooperative management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q) Number of landscapes supported on food and agricultural commodity system transformations. *</w:t>
            </w:r>
          </w:p>
        </w:tc>
      </w:tr>
      <w:tr>
        <w:trPr/>
        <w:tc>
          <w:tcPr>
            <w:tcW w:w="10000" w:type="dxa"/>
            <w:gridSpan w:val="1"/>
            <w:noWrap/>
          </w:tcPr>
          <w:p>
            <w:pPr/>
            <w:r>
              <w:rPr/>
              <w:t xml:space="preserve">Applicable</w:t>
            </w:r>
          </w:p>
        </w:tc>
      </w:tr>
      <w:tr>
        <w:trPr/>
        <w:tc>
          <w:tcPr>
            <w:tcW w:w="10000" w:type="dxa"/>
            <w:shd w:val="clear" w:fill="#D9D9D9"/>
            <w:noWrap/>
          </w:tcPr>
          <w:p>
            <w:pPr/>
            <w:r>
              <w:rPr>
                <w:b w:val="1"/>
                <w:bCs w:val="1"/>
              </w:rPr>
              <w:t xml:space="preserve">q) If applicable, provide the number of landscapes supported on food and agricultural commodity system transformations</w:t>
            </w:r>
          </w:p>
        </w:tc>
      </w:tr>
      <w:tr>
        <w:trPr/>
        <w:tc>
          <w:tcPr>
            <w:tcW w:w="10000" w:type="dxa"/>
            <w:gridSpan w:val="1"/>
            <w:noWrap/>
          </w:tcPr>
          <w:p>
            <w:pPr/>
            <w:r>
              <w:rPr/>
              <w:t xml:space="preserve">0</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r) Number of direct beneficiaries benefitting from Nature Pledge activities. *</w:t>
            </w:r>
          </w:p>
        </w:tc>
      </w:tr>
      <w:tr>
        <w:trPr/>
        <w:tc>
          <w:tcPr>
            <w:tcW w:w="10000" w:type="dxa"/>
            <w:gridSpan w:val="1"/>
            <w:noWrap/>
          </w:tcPr>
          <w:p>
            <w:pPr/>
            <w:r>
              <w:rPr/>
              <w:t xml:space="preserve">Applicable</w:t>
            </w:r>
          </w:p>
        </w:tc>
      </w:tr>
      <w:tr>
        <w:trPr/>
        <w:tc>
          <w:tcPr>
            <w:tcW w:w="10000" w:type="dxa"/>
            <w:shd w:val="clear" w:fill="#D9D9D9"/>
            <w:noWrap/>
          </w:tcPr>
          <w:p>
            <w:pPr/>
            <w:r>
              <w:rPr>
                <w:b w:val="1"/>
                <w:bCs w:val="1"/>
              </w:rPr>
              <w:t xml:space="preserve">r) If applicable, provide the number of direct beneficiaries benefitting from Nature Pledge activities</w:t>
            </w:r>
          </w:p>
        </w:tc>
      </w:tr>
      <w:tr>
        <w:trPr/>
        <w:tc>
          <w:tcPr>
            <w:tcW w:w="10000" w:type="dxa"/>
            <w:gridSpan w:val="1"/>
            <w:noWrap/>
          </w:tcPr>
          <w:p>
            <w:pPr/>
            <w:r>
              <w:rPr/>
              <w:t xml:space="preserve">0</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s) Number of indirect beneficiaries benefitting from Nature Pledge activities (Number of people benefitting from legal and social empowerment and ecosystem services, including enhanced climate resilience, food, and water security, health benefits, increased life expectancy, and overall wellbeing).</w:t>
            </w:r>
          </w:p>
        </w:tc>
      </w:tr>
      <w:tr>
        <w:trPr/>
        <w:tc>
          <w:tcPr>
            <w:tcW w:w="10000" w:type="dxa"/>
            <w:gridSpan w:val="1"/>
            <w:noWrap/>
          </w:tcPr>
          <w:p>
            <w:pPr/>
            <w:r>
              <w:rPr/>
              <w:t xml:space="preserve">Applicable</w:t>
            </w:r>
          </w:p>
        </w:tc>
      </w:tr>
      <w:tr>
        <w:trPr/>
        <w:tc>
          <w:tcPr>
            <w:tcW w:w="10000" w:type="dxa"/>
            <w:shd w:val="clear" w:fill="#D9D9D9"/>
            <w:noWrap/>
          </w:tcPr>
          <w:p>
            <w:pPr/>
            <w:r>
              <w:rPr>
                <w:b w:val="1"/>
                <w:bCs w:val="1"/>
              </w:rPr>
              <w:t xml:space="preserve">s) If applicable, provide the number of indirect beneficiaries benefitting from Nature Pledge activities</w:t>
            </w:r>
          </w:p>
        </w:tc>
      </w:tr>
      <w:tr>
        <w:trPr/>
        <w:tc>
          <w:tcPr>
            <w:tcW w:w="10000" w:type="dxa"/>
            <w:gridSpan w:val="1"/>
            <w:noWrap/>
          </w:tcPr>
          <w:p>
            <w:pPr/>
            <w:r>
              <w:rPr/>
              <w:t xml:space="preserve">0</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t) Hectares of Indigenous Peoples and Community Conserved Areas (ICCAs) with improved management effectiveness and/or governance systems (including equitable governance with government and other actors, legal transfer of management responsibilities, and legal land use rights).</w:t>
            </w:r>
          </w:p>
        </w:tc>
      </w:tr>
      <w:tr>
        <w:trPr/>
        <w:tc>
          <w:tcPr>
            <w:tcW w:w="10000" w:type="dxa"/>
            <w:gridSpan w:val="1"/>
            <w:noWrap/>
          </w:tcPr>
          <w:p>
            <w:pPr/>
            <w:r>
              <w:rPr/>
              <w:t xml:space="preserve">Not Applicable</w:t>
            </w:r>
          </w:p>
        </w:tc>
      </w:tr>
      <w:tr>
        <w:trPr/>
        <w:tc>
          <w:tcPr>
            <w:tcW w:w="10000" w:type="dxa"/>
            <w:shd w:val="clear" w:fill="#D9D9D9"/>
            <w:noWrap/>
          </w:tcPr>
          <w:p>
            <w:pPr/>
            <w:r>
              <w:rPr>
                <w:b w:val="1"/>
                <w:bCs w:val="1"/>
              </w:rPr>
              <w:t xml:space="preserve">t) If applicable, provide the number of hectares of Indigenous Peoples and Community Conserved Areas (ICCAs) with improved management effectiveness and/or governance systems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u) Hectares of agricultural land, forest, natural grass, woodlands and wetlands under restoration. *</w:t>
            </w:r>
          </w:p>
        </w:tc>
      </w:tr>
      <w:tr>
        <w:trPr/>
        <w:tc>
          <w:tcPr>
            <w:tcW w:w="10000" w:type="dxa"/>
            <w:gridSpan w:val="1"/>
            <w:noWrap/>
          </w:tcPr>
          <w:p>
            <w:pPr/>
            <w:r>
              <w:rPr/>
              <w:t xml:space="preserve">Applicable</w:t>
            </w:r>
          </w:p>
        </w:tc>
      </w:tr>
      <w:tr>
        <w:trPr/>
        <w:tc>
          <w:tcPr>
            <w:tcW w:w="10000" w:type="dxa"/>
            <w:shd w:val="clear" w:fill="#D9D9D9"/>
            <w:noWrap/>
          </w:tcPr>
          <w:p>
            <w:pPr/>
            <w:r>
              <w:rPr>
                <w:b w:val="1"/>
                <w:bCs w:val="1"/>
              </w:rPr>
              <w:t xml:space="preserve">u) If applicable, please provide the number of hectares of agricultural land, forest, natural grass, woodlands and wetlands under restoration. *</w:t>
            </w:r>
          </w:p>
        </w:tc>
      </w:tr>
      <w:tr>
        <w:trPr/>
        <w:tc>
          <w:tcPr>
            <w:tcW w:w="10000" w:type="dxa"/>
            <w:gridSpan w:val="1"/>
            <w:noWrap/>
          </w:tcPr>
          <w:p>
            <w:pPr/>
            <w:r>
              <w:rPr/>
              <w:t xml:space="preserve">0</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v) Tons of greenhouse gas emissions avoided and/or carbon sequestered in agriculture, forestry, and other land use*.</w:t>
            </w:r>
          </w:p>
        </w:tc>
      </w:tr>
      <w:tr>
        <w:trPr/>
        <w:tc>
          <w:tcPr>
            <w:tcW w:w="10000" w:type="dxa"/>
            <w:gridSpan w:val="1"/>
            <w:noWrap/>
          </w:tcPr>
          <w:p>
            <w:pPr/>
            <w:r>
              <w:rPr/>
              <w:t xml:space="preserve">Applicable</w:t>
            </w:r>
          </w:p>
        </w:tc>
      </w:tr>
      <w:tr>
        <w:trPr/>
        <w:tc>
          <w:tcPr>
            <w:tcW w:w="10000" w:type="dxa"/>
            <w:shd w:val="clear" w:fill="#D9D9D9"/>
            <w:noWrap/>
          </w:tcPr>
          <w:p>
            <w:pPr/>
            <w:r>
              <w:rPr>
                <w:b w:val="1"/>
                <w:bCs w:val="1"/>
              </w:rPr>
              <w:t xml:space="preserve">v) If applicable, provide the number of tons of greenhouse gas emissions avoided and/or carbon sequestered in agriculture, forestry, and other land use.*</w:t>
            </w:r>
          </w:p>
        </w:tc>
      </w:tr>
      <w:tr>
        <w:trPr/>
        <w:tc>
          <w:tcPr>
            <w:tcW w:w="10000" w:type="dxa"/>
            <w:gridSpan w:val="1"/>
            <w:noWrap/>
          </w:tcPr>
          <w:p>
            <w:pPr/>
            <w:r>
              <w:rPr/>
              <w:t xml:space="preserve">0</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w) Number of people with increased access to employment opportunities and strengthened and/or new livelihoods.</w:t>
            </w:r>
          </w:p>
        </w:tc>
      </w:tr>
      <w:tr>
        <w:trPr/>
        <w:tc>
          <w:tcPr>
            <w:tcW w:w="10000" w:type="dxa"/>
            <w:gridSpan w:val="1"/>
            <w:noWrap/>
          </w:tcPr>
          <w:p>
            <w:pPr/>
            <w:r>
              <w:rPr/>
              <w:t xml:space="preserve">Applicable</w:t>
            </w:r>
          </w:p>
        </w:tc>
      </w:tr>
      <w:tr>
        <w:trPr/>
        <w:tc>
          <w:tcPr>
            <w:tcW w:w="10000" w:type="dxa"/>
            <w:shd w:val="clear" w:fill="#D9D9D9"/>
            <w:noWrap/>
          </w:tcPr>
          <w:p>
            <w:pPr/>
            <w:r>
              <w:rPr>
                <w:b w:val="1"/>
                <w:bCs w:val="1"/>
              </w:rPr>
              <w:t xml:space="preserve">w) If applicable, provide the number of people with increased access to employment opportunities and strengthened and/or new livelihoods.</w:t>
            </w:r>
          </w:p>
        </w:tc>
      </w:tr>
      <w:tr>
        <w:trPr/>
        <w:tc>
          <w:tcPr>
            <w:tcW w:w="10000" w:type="dxa"/>
            <w:gridSpan w:val="1"/>
            <w:noWrap/>
          </w:tcPr>
          <w:p>
            <w:pPr/>
            <w:r>
              <w:rPr/>
              <w:t xml:space="preserve">0</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x) Did the project invest in grassroots innovators, Nature-positive microenterprises, and promote agency of Indigenous Peoples and local communities?</w:t>
            </w:r>
          </w:p>
        </w:tc>
      </w:tr>
      <w:tr>
        <w:trPr/>
        <w:tc>
          <w:tcPr>
            <w:tcW w:w="10000" w:type="dxa"/>
            <w:gridSpan w:val="1"/>
            <w:noWrap/>
          </w:tcPr>
          <w:p>
            <w:pPr/>
            <w:r>
              <w:rPr/>
              <w:t xml:space="preserve">Not Applicable</w:t>
            </w:r>
          </w:p>
        </w:tc>
      </w:tr>
      <w:tr>
        <w:trPr/>
        <w:tc>
          <w:tcPr>
            <w:tcW w:w="10000" w:type="dxa"/>
            <w:shd w:val="clear" w:fill="#D9D9D9"/>
            <w:noWrap/>
          </w:tcPr>
          <w:p>
            <w:pPr/>
            <w:r>
              <w:rPr>
                <w:b w:val="1"/>
                <w:bCs w:val="1"/>
              </w:rPr>
              <w:t xml:space="preserve">x) If applicable, please select Yes or No</w:t>
            </w:r>
          </w:p>
        </w:tc>
      </w:tr>
      <w:tr>
        <w:trPr/>
        <w:tc>
          <w:tcPr>
            <w:tcW w:w="10000" w:type="dxa"/>
            <w:gridSpan w:val="1"/>
            <w:noWrap/>
          </w:tcPr>
          <w:p>
            <w:pPr/>
            <w:r>
              <w:rPr>
                <w:i w:val="1"/>
                <w:iCs w:val="1"/>
              </w:rPr>
              <w:t xml:space="preserve">(not set or not applicable)</w:t>
            </w:r>
          </w:p>
        </w:tc>
      </w:tr>
    </w:tbl>
    <w:p>
      <w:pPr>
        <w:pStyle w:val="Heading2"/>
      </w:pPr>
      <w:bookmarkStart w:id="8" w:name="_Toc8"/>
      <w:r>
        <w:t>3) Narrative Reporting on Nature Pledge Results</w:t>
      </w:r>
      <w:bookmarkEnd w:id="8"/>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a) Please provide any additional information on the indicators noted above.</w:t>
            </w:r>
          </w:p>
          <w:p>
            <w:pPr>
              <w:jc w:val="both"/>
              <w:spacing w:after="0"/>
            </w:pPr>
            <w:r>
              <w:rPr>
                <w:rFonts w:ascii="'Calibri'" w:hAnsi="'Calibri'" w:eastAsia="'Calibri'" w:cs="'Calibri'"/>
                <w:sz w:val="22"/>
                <w:szCs w:val="22"/>
                <w:i w:val="1"/>
                <w:iCs w:val="1"/>
                <w:u w:val="single"/>
              </w:rPr>
              <w:t xml:space="preserve">Guidance tip</w:t>
            </w:r>
            <w:r>
              <w:rPr>
                <w:rFonts w:ascii="'Calibri'" w:hAnsi="'Calibri'" w:eastAsia="'Calibri'" w:cs="'Calibri'"/>
                <w:sz w:val="22"/>
                <w:szCs w:val="22"/>
                <w:i w:val="1"/>
                <w:iCs w:val="1"/>
              </w:rPr>
              <w:t xml:space="preserve">: As needed, please provision of further context and information on results</w:t>
            </w:r>
            <w:r>
              <w:rPr>
                <w:sz w:val="22"/>
                <w:szCs w:val="22"/>
                <w:i w:val="1"/>
                <w:iCs w:val="1"/>
              </w:rPr>
              <w:t xml:space="preserve">.</w:t>
            </w:r>
          </w:p>
          <w:p>
            <w:pPr>
              <w:jc w:val="both"/>
              <w:spacing w:after="0"/>
            </w:pPr>
            <w:r>
              <w:rPr>
                <w:sz w:val="22"/>
                <w:szCs w:val="22"/>
                <w:i w:val="1"/>
                <w:iCs w:val="1"/>
              </w:rPr>
              <w:t xml:space="preserve">(Response is not mandatory.)</w:t>
            </w:r>
          </w:p>
        </w:tc>
      </w:tr>
      <w:tr>
        <w:trPr/>
        <w:tc>
          <w:tcPr>
            <w:tcW w:w="10000" w:type="dxa"/>
            <w:gridSpan w:val="1"/>
            <w:noWrap/>
          </w:tcPr>
          <w:p>
            <w:pPr/>
            <w:r>
              <w:rPr/>
              <w:t xml:space="preserve">While no direct Nature Pledge indicator targets have been achieved in the first implementation year, the groundwork has been solidly laid through:</w:t>
            </w:r>
          </w:p>
          <w:p>
            <w:pPr/>
            <w:r>
              <w:rPr/>
              <w:t xml:space="preserve"/>
            </w:r>
          </w:p>
          <w:p>
            <w:pPr/>
            <w:r>
              <w:rPr/>
              <w:t xml:space="preserve">-Extensive baseline data collection on biodiversity, pastureland, and forest ecosystems.</w:t>
            </w:r>
          </w:p>
          <w:p>
            <w:pPr/>
            <w:r>
              <w:rPr/>
              <w:t xml:space="preserve">- Formation of working groups for the legal establishment of four new protected areas covering over 280,000 ha.</w:t>
            </w:r>
          </w:p>
          <w:p>
            <w:pPr/>
            <w:r>
              <w:rPr/>
              <w:t xml:space="preserve">- Stakeholder mapping and gender-sensitive planning at local and national levels.</w:t>
            </w:r>
          </w:p>
          <w:p>
            <w:pPr/>
            <w:r>
              <w:rPr/>
              <w:t xml:space="preserve">- Development of terms of reference for the upgrade of pasture and forest information systems, which will enable transparent governance and management.</w:t>
            </w:r>
          </w:p>
          <w:p>
            <w:pPr/>
            <w:r>
              <w:rPr/>
              <w:t xml:space="preserve">- Conduct of socio-economic and ecological surveys in high biodiversity areas involving over 170 community members (39% women).</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 Additional Headline Indicators: If there are any other indicators you consider important for reporting the progress of the project on Nature Pledge, please list them in the section below along with the specific results achieved. *</w:t>
            </w:r>
          </w:p>
          <w:p>
            <w:pPr>
              <w:jc w:val="both"/>
              <w:spacing w:after="0"/>
            </w:pPr>
            <w:r>
              <w:rPr>
                <w:rFonts w:ascii="'Calibri'" w:hAnsi="'Calibri'" w:eastAsia="'Calibri'" w:cs="'Calibri'"/>
                <w:sz w:val="22"/>
                <w:szCs w:val="22"/>
                <w:i w:val="1"/>
                <w:iCs w:val="1"/>
                <w:u w:val="single"/>
              </w:rPr>
              <w:t xml:space="preserve">Guidance Tip</w:t>
            </w:r>
            <w:r>
              <w:rPr>
                <w:rFonts w:ascii="'Calibri'" w:hAnsi="'Calibri'" w:eastAsia="'Calibri'" w:cs="'Calibri'"/>
                <w:sz w:val="22"/>
                <w:szCs w:val="22"/>
                <w:i w:val="1"/>
                <w:iCs w:val="1"/>
              </w:rPr>
              <w:t xml:space="preserve">: Kindly consider providing "key indicators" and "progress against them" as have been used by the reporting project for donor mobilization, accountability and wider transparency needs. In case no other indicator is relevant, please note ‘not applicable’ below.</w:t>
            </w:r>
          </w:p>
          <w:p>
            <w:pPr>
              <w:jc w:val="both"/>
              <w:spacing w:after="0"/>
            </w:pPr>
            <w:r>
              <w:rPr>
                <w:sz w:val="22"/>
                <w:szCs w:val="22"/>
                <w:i w:val="1"/>
                <w:iCs w:val="1"/>
              </w:rPr>
              <w:t xml:space="preserve">(Response is mandatory.)</w:t>
            </w:r>
          </w:p>
        </w:tc>
      </w:tr>
      <w:tr>
        <w:trPr/>
        <w:tc>
          <w:tcPr>
            <w:tcW w:w="10000" w:type="dxa"/>
            <w:gridSpan w:val="1"/>
            <w:noWrap/>
          </w:tcPr>
          <w:p>
            <w:pPr/>
            <w:r>
              <w:rPr/>
              <w:t xml:space="preserve">While the project remains in its foundational stage, several preparatory results lay critical groundwork for future delivery on Nature Pledge outcomes. Key additional indicators and progress to date include:</w:t>
            </w:r>
          </w:p>
          <w:p>
            <w:pPr/>
            <w:r>
              <w:rPr/>
              <w:t xml:space="preserve"/>
            </w:r>
          </w:p>
          <w:p>
            <w:pPr/>
            <w:r>
              <w:rPr/>
              <w:t xml:space="preserve">Indicator: Number of hectares with completed baseline assessments for sustainable land management planning</w:t>
            </w:r>
          </w:p>
          <w:p>
            <w:pPr/>
            <w:r>
              <w:rPr/>
              <w:t xml:space="preserve">Progress: Baseline assessments initiated across 621,905 ha of pastureland and 140,309.5 ha of forestland in and around Key Biodiversity Areas (KBAs).</w:t>
            </w:r>
          </w:p>
          <w:p>
            <w:pPr/>
            <w:r>
              <w:rPr/>
              <w:t xml:space="preserve"/>
            </w:r>
          </w:p>
          <w:p>
            <w:pPr/>
            <w:r>
              <w:rPr/>
              <w:t xml:space="preserve">Indicator: Number of legal preparatory steps completed for establishment of new protected areas</w:t>
            </w:r>
          </w:p>
          <w:p>
            <w:pPr/>
            <w:r>
              <w:rPr/>
              <w:t xml:space="preserve">Progress: Legal work plans and working group endorsed for 4 new PAs covering 281,083.79 ha, including PA boundary mapping and ecological justifications.</w:t>
            </w:r>
          </w:p>
          <w:p>
            <w:pPr/>
            <w:r>
              <w:rPr/>
              <w:t xml:space="preserve"/>
            </w:r>
          </w:p>
          <w:p>
            <w:pPr/>
            <w:r>
              <w:rPr/>
              <w:t xml:space="preserve">Indicator: Percentage of women participating in community consultations and project governance</w:t>
            </w:r>
          </w:p>
          <w:p>
            <w:pPr/>
            <w:r>
              <w:rPr/>
              <w:t xml:space="preserve">Progress: Women’s participation ranged from 30% to 42% in governance and stakeholder consultation events, with gender balance achieved in technical training.</w:t>
            </w:r>
          </w:p>
          <w:p>
            <w:pPr/>
            <w:r>
              <w:rPr/>
              <w:t xml:space="preserve"/>
            </w:r>
          </w:p>
          <w:p>
            <w:pPr/>
            <w:r>
              <w:rPr/>
              <w:t xml:space="preserve">Indicator: Number of baseline surveys initiated for socio-economic and biodiversity data</w:t>
            </w:r>
          </w:p>
          <w:p>
            <w:pPr/>
            <w:r>
              <w:rPr/>
              <w:t xml:space="preserve">Progress: Over 170 local stakeholders engaged, surveys completed in Batken and Osh oblasts, with Naryn underway.</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 Spotlight Results Example: Please provide a comprehensive results example that elaborates on project contributions to the UNDP Nature Pledge. Please feel free to add more than one example below. *</w:t>
            </w:r>
          </w:p>
          <w:p>
            <w:pPr>
              <w:jc w:val="both"/>
              <w:spacing w:after="0"/>
            </w:pPr>
            <w:r>
              <w:rPr>
                <w:rFonts w:ascii="'Calibri'" w:hAnsi="'Calibri'" w:eastAsia="'Calibri'" w:cs="'Calibri'"/>
                <w:sz w:val="22"/>
                <w:szCs w:val="22"/>
                <w:i w:val="1"/>
                <w:iCs w:val="1"/>
                <w:u w:val="single"/>
              </w:rPr>
              <w:t xml:space="preserve">Guidance Tip</w:t>
            </w:r>
            <w:r>
              <w:rPr>
                <w:rFonts w:ascii="'Calibri'" w:hAnsi="'Calibri'" w:eastAsia="'Calibri'" w:cs="'Calibri'"/>
                <w:sz w:val="22"/>
                <w:szCs w:val="22"/>
                <w:i w:val="1"/>
                <w:iCs w:val="1"/>
              </w:rPr>
              <w:t xml:space="preserve">: In providing results example, please consider (i) ‘what’ was achieved; </w:t>
            </w:r>
            <w:r>
              <w:rPr>
                <w:rFonts w:ascii="'Calibri'" w:hAnsi="'Calibri'" w:eastAsia="'Calibri'" w:cs="'Calibri'"/>
                <w:sz w:val="22"/>
                <w:szCs w:val="22"/>
                <w:i w:val="1"/>
                <w:iCs w:val="1"/>
              </w:rPr>
              <w:t xml:space="preserve"> </w:t>
            </w:r>
            <w:r>
              <w:rPr>
                <w:rFonts w:ascii="'Calibri'" w:hAnsi="'Calibri'" w:eastAsia="'Calibri'" w:cs="'Calibri'"/>
                <w:sz w:val="22"/>
                <w:szCs w:val="22"/>
                <w:i w:val="1"/>
                <w:iCs w:val="1"/>
              </w:rPr>
              <w:t xml:space="preserve">how’ it was achieved; (ii) ‘who’ it was achieved for and with; and (iii) ‘where’ it was achieved. Please write "not applicable" in case the question does not apply.</w:t>
            </w:r>
          </w:p>
          <w:p>
            <w:pPr>
              <w:jc w:val="both"/>
              <w:spacing w:after="0"/>
            </w:pPr>
            <w:r>
              <w:rPr>
                <w:sz w:val="22"/>
                <w:szCs w:val="22"/>
                <w:i w:val="1"/>
                <w:iCs w:val="1"/>
              </w:rPr>
              <w:t xml:space="preserve">(Response is mandatory.)</w:t>
            </w:r>
          </w:p>
        </w:tc>
      </w:tr>
      <w:tr>
        <w:trPr/>
        <w:tc>
          <w:tcPr>
            <w:tcW w:w="10000" w:type="dxa"/>
            <w:gridSpan w:val="1"/>
            <w:noWrap/>
          </w:tcPr>
          <w:p>
            <w:pPr/>
            <w:r>
              <w:rPr/>
              <w:t xml:space="preserve">The work has been rolled out in priority zones across the Batken, Osh, and Naryn oblasts of the Kyrgyz Republic, including within and around designated Key Biodiversity Areas (KBAs), future protected areas, and forest management zones.</w:t>
            </w:r>
          </w:p>
          <w:p>
            <w:pPr/>
            <w:r>
              <w:rPr/>
              <w:t xml:space="preserve"/>
            </w:r>
          </w:p>
          <w:p>
            <w:pPr/>
            <w:r>
              <w:rPr/>
              <w:t xml:space="preserve">These preparatory milestones directly align with the Policy and Practice Shift of the Nature Pledge—specifically by strengthening national capacity for GBF implementation, mainstreaming nature in spatial policy and planning, and initiating ecosystem restoration efforts.</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d) Delivering Multidimensional Results: UNDP Nature Pledge emphasizes the foundational role of Nature in delivering other Sustainable Development Goals. Please provide a comprehensive results example that elaborates on project contributions in delivering multiple benefits for the People and Planet. Please feel free to add more than one example below. *</w:t>
            </w:r>
          </w:p>
          <w:p>
            <w:pPr>
              <w:jc w:val="both"/>
              <w:spacing w:after="0"/>
            </w:pPr>
            <w:r>
              <w:rPr>
                <w:rFonts w:ascii="'Calibri'" w:hAnsi="'Calibri'" w:eastAsia="'Calibri'" w:cs="'Calibri'"/>
                <w:sz w:val="22"/>
                <w:szCs w:val="22"/>
                <w:i w:val="1"/>
                <w:iCs w:val="1"/>
                <w:u w:val="single"/>
              </w:rPr>
              <w:t xml:space="preserve">Guidance Tip</w:t>
            </w:r>
            <w:r>
              <w:rPr>
                <w:rFonts w:ascii="'Calibri'" w:hAnsi="'Calibri'" w:eastAsia="'Calibri'" w:cs="'Calibri'"/>
                <w:sz w:val="22"/>
                <w:szCs w:val="22"/>
                <w:i w:val="1"/>
                <w:iCs w:val="1"/>
              </w:rPr>
              <w:t xml:space="preserve">: Besides supporting (directly/indirectly) the National Biodiversity Strategies and Action Plan, please consider how the reporting project supports other Multilateral Environmental Conventions and Sustainable Development Goals. These could include synergies and further contributions to Nationally Determined Contributions (NDCs), National Adaptation Plans (NAPs), Land Degradation Neutrality Targets, and broader national/ sub-national development mandates. This section also provides an opportunity to highlight any interlinkages and scaling-up between project results and broader activities at Global, Regional, and Country levels. Please write "not applicable" in case the question does not apply.</w:t>
            </w:r>
          </w:p>
          <w:p>
            <w:pPr>
              <w:jc w:val="both"/>
              <w:spacing w:after="0"/>
            </w:pPr>
            <w:r>
              <w:rPr>
                <w:sz w:val="22"/>
                <w:szCs w:val="22"/>
                <w:i w:val="1"/>
                <w:iCs w:val="1"/>
              </w:rPr>
              <w:t xml:space="preserve">(Response is mandatory.)</w:t>
            </w:r>
          </w:p>
        </w:tc>
      </w:tr>
      <w:tr>
        <w:trPr/>
        <w:tc>
          <w:tcPr>
            <w:tcW w:w="10000" w:type="dxa"/>
            <w:gridSpan w:val="1"/>
            <w:noWrap/>
          </w:tcPr>
          <w:p>
            <w:pPr/>
            <w:r>
              <w:rPr/>
              <w:t xml:space="preserve">The Pamir-Alai Project directly supports the implementation of the country’s National Biodiversity Strategy and Action Plan (NBSAP), which is currently under development. Among the 280 proposed actions in the updated NBSAP, 35 measures are aligned with the activities of the Pamir-Alai Project. These measures also contribute to the achievement of the country’s Land Degradation Neutrality (LDN) Targets, National Adaptation Plan (NAP), and Nationally Determined Contributions (NDC).</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e) Leveraging Partnerships: Please provide relevant information on the key partner(s) involved in the project and supporting the delivery of UNDP Nature Pledge. *</w:t>
            </w:r>
          </w:p>
          <w:p>
            <w:pPr>
              <w:jc w:val="both"/>
              <w:spacing w:after="0"/>
            </w:pPr>
            <w:r>
              <w:rPr>
                <w:rFonts w:ascii="'Calibri'" w:hAnsi="'Calibri'" w:eastAsia="'Calibri'" w:cs="'Calibri'"/>
                <w:sz w:val="22"/>
                <w:szCs w:val="22"/>
                <w:i w:val="1"/>
                <w:iCs w:val="1"/>
                <w:u w:val="single"/>
              </w:rPr>
              <w:t xml:space="preserve">Guidance Tip</w:t>
            </w:r>
            <w:r>
              <w:rPr>
                <w:rFonts w:ascii="'Calibri'" w:hAnsi="'Calibri'" w:eastAsia="'Calibri'" w:cs="'Calibri'"/>
                <w:sz w:val="22"/>
                <w:szCs w:val="22"/>
                <w:i w:val="1"/>
                <w:iCs w:val="1"/>
              </w:rPr>
              <w:t xml:space="preserve">: UNDP Nature Pledge calls for an “All of Government” and “All of Society” approach. Therefore, partnerships are central to its successful delivery. This section provides an opportunity for you to highlight the creation, strengthening, and leverage of a broader partnership base</w:t>
            </w:r>
            <w:r>
              <w:rPr>
                <w:rFonts w:ascii="'Calibri'" w:hAnsi="'Calibri'" w:eastAsia="'Calibri'" w:cs="'Calibri'"/>
                <w:sz w:val="22"/>
                <w:szCs w:val="22"/>
              </w:rPr>
              <w:t xml:space="preserve">. </w:t>
            </w:r>
            <w:r>
              <w:rPr>
                <w:rFonts w:ascii="'Calibri'" w:hAnsi="'Calibri'" w:eastAsia="'Calibri'" w:cs="'Calibri'"/>
                <w:sz w:val="22"/>
                <w:szCs w:val="22"/>
                <w:i w:val="1"/>
                <w:iCs w:val="1"/>
              </w:rPr>
              <w:t xml:space="preserve">Please write "not applicable" in case the question does not apply.</w:t>
            </w:r>
          </w:p>
          <w:p>
            <w:pPr>
              <w:jc w:val="both"/>
              <w:spacing w:after="0"/>
            </w:pPr>
            <w:r>
              <w:rPr>
                <w:rFonts w:ascii="-apple-system" w:hAnsi="-apple-system" w:eastAsia="-apple-system" w:cs="-apple-system"/>
                <w:sz w:val="22"/>
                <w:szCs w:val="22"/>
                <w:i w:val="1"/>
                <w:iCs w:val="1"/>
              </w:rPr>
              <w:t xml:space="preserve">(Response is mandatory.)</w:t>
            </w:r>
          </w:p>
        </w:tc>
      </w:tr>
      <w:tr>
        <w:trPr/>
        <w:tc>
          <w:tcPr>
            <w:tcW w:w="10000" w:type="dxa"/>
            <w:gridSpan w:val="1"/>
            <w:noWrap/>
          </w:tcPr>
          <w:p>
            <w:pPr/>
            <w:r>
              <w:rPr/>
              <w:t xml:space="preserve">Yes, the project aligns with the UNDP Nature Pledge’s “All of Society” approach, making partnerships critical to its successful delivery. It is nationally implemented (NIM) by the Ministry of Natural Resources, Ecology and Technical Supervision (MNRETS) of the Kyrgyz Republic, with execution support from UNDP. The Department for Biodiversity Conservation and Specially Protected Natural Areas under MNRETS serves as the key project owner, actively guiding, monitoring, and participating in project implementation.</w:t>
            </w:r>
          </w:p>
          <w:p>
            <w:pPr/>
            <w:r>
              <w:rPr/>
              <w:t xml:space="preserve"/>
            </w:r>
          </w:p>
          <w:p>
            <w:pPr/>
            <w:r>
              <w:rPr/>
              <w:t xml:space="preserve">Other government partners include the Forest Service under the Ministry of Emergency Situations and the Pasture Department under the Ministry of Agriculture, both contributing technical and institutional support.</w:t>
            </w:r>
          </w:p>
          <w:p>
            <w:pPr/>
            <w:r>
              <w:rPr/>
              <w:t xml:space="preserve"/>
            </w:r>
          </w:p>
          <w:p>
            <w:pPr/>
            <w:r>
              <w:rPr/>
              <w:t xml:space="preserve">Key responsible parties supporting project delivery are the Snow Leopard Trust (SLT) and CAMP Alatoo Public Foundation, which bring expertise in biodiversity conservation and community engagement. Local governance support is ensured through the active involvement of state administrations in Leilek, Kadamjai, Chong-Alai, Alai, Kara-Kulja, and At-Bashi districts.</w:t>
            </w:r>
          </w:p>
          <w:p>
            <w:pPr/>
            <w:r>
              <w:rPr/>
              <w:t xml:space="preserve"/>
            </w:r>
          </w:p>
          <w:p>
            <w:pPr/>
            <w:r>
              <w:rPr/>
              <w:t xml:space="preserve">In addition, the Institute of Biology of the National Academy of Sciences of the Kyrgyz Republic serves as the project’s academic partner, providing scientific expertise to inform biodiversity conservation efforts.</w:t>
            </w:r>
          </w:p>
          <w:p>
            <w:pPr/>
            <w:r>
              <w:rPr/>
              <w:t xml:space="preserve"/>
            </w:r>
          </w:p>
          <w:p>
            <w:pPr/>
            <w:r>
              <w:rPr/>
              <w:t xml:space="preserve">These partnerships strengthen the project’s implementation by fostering cross-sector collaboration between government, civil society, and academia—ensuring a holistic and inclusive approach to achieving the objectives of the UNDP Nature Pledge.</w:t>
            </w:r>
          </w:p>
          <w:p>
            <w:pPr/>
            <w:r>
              <w:rPr/>
              <w:t xml:space="preserve"/>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Please upload evidence to support responses in this section.</w:t>
            </w:r>
          </w:p>
        </w:tc>
      </w:tr>
      <w:tr>
        <w:trPr/>
        <w:tc>
          <w:tcPr>
            <w:tcW w:w="10000" w:type="dxa"/>
            <w:noWrap/>
          </w:tcPr>
          <w:p>
            <w:pPr>
              <w:spacing w:before="0" w:after="0"/>
            </w:pPr>
            <w:r>
              <w:rPr/>
              <w:t xml:space="preserve">NBSAP KR- Aug 2025.pdf</w:t>
            </w:r>
          </w:p>
          <w:p>
            <w:pPr/>
          </w:p>
        </w:tc>
      </w:tr>
    </w:tbl>
    <w:p>
      <w:pPr>
        <w:sectPr>
          <w:pgSz w:orient="portrait" w:w="11905.511811023622" w:h="16837.79527559055"/>
          <w:pgMar w:top="1440" w:right="1440" w:bottom="1440" w:left="1440" w:header="720" w:footer="720" w:gutter="0"/>
          <w:cols w:num="1" w:space="720"/>
        </w:sectPr>
      </w:pPr>
    </w:p>
    <w:p>
      <w:pPr>
        <w:pStyle w:val="Heading1"/>
      </w:pPr>
      <w:bookmarkStart w:id="9" w:name="_Toc9"/>
      <w:r>
        <w:t>Development Objective Progress</w:t>
      </w:r>
      <w:bookmarkEnd w:id="9"/>
    </w:p>
    <w:p>
      <w:pPr/>
      <w:r>
        <w:rP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Grid>
        <w:gridCol w:w="4000" w:type="dxa"/>
        <w:gridCol w:w="2000" w:type="dxa"/>
        <w:gridCol w:w="2000" w:type="dxa"/>
        <w:gridCol w:w="2000" w:type="dxa"/>
        <w:gridCol w:w="4000" w:type="dxa"/>
        <w:gridCol w:w="4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6000" w:type="dxa"/>
            <w:gridSpan w:val="7"/>
            <w:noWrap/>
          </w:tcPr>
          <w:p>
            <w:pPr/>
            <w:r>
              <w:rPr>
                <w:b w:val="1"/>
                <w:bCs w:val="1"/>
              </w:rPr>
              <w:t xml:space="preserve">Description</w:t>
            </w:r>
          </w:p>
        </w:tc>
      </w:tr>
      <w:tr>
        <w:trPr/>
        <w:tc>
          <w:tcPr>
            <w:tcW w:w="16000" w:type="dxa"/>
            <w:shd w:val="clear" w:fill="#D9D9D9"/>
            <w:gridSpan w:val="7"/>
            <w:noWrap/>
          </w:tcPr>
          <w:p>
            <w:pPr/>
            <w:r>
              <w:rPr>
                <w:b w:val="1"/>
                <w:bCs w:val="1"/>
              </w:rPr>
              <w:t xml:space="preserve">Objective</w:t>
            </w:r>
          </w:p>
          <w:p>
            <w:pPr/>
            <w:r>
              <w:rPr>
                <w:b w:val="1"/>
                <w:bCs w:val="1"/>
              </w:rPr>
              <w:t xml:space="preserve">Project Objective:</w:t>
            </w:r>
          </w:p>
          <w:p>
            <w:pPr/>
            <w:r>
              <w:rPr>
                <w:b w:val="1"/>
                <w:bCs w:val="1"/>
              </w:rPr>
              <w:t xml:space="preserve">To safeguard globally significant biodiversity of high value Pamir-Alai mountain ecosystems, restore degraded lands, and ensure maintenance of critical ecosystem services for sustainable livelihoods</w:t>
            </w:r>
          </w:p>
          <w:p>
            <w:pPr/>
            <w:r>
              <w:rPr>
                <w:b w:val="1"/>
                <w:bCs w:val="1"/>
              </w:rPr>
              <w:t xml:space="preserve"/>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2024</w:t>
            </w:r>
          </w:p>
        </w:tc>
        <w:tc>
          <w:tcPr>
            <w:tcW w:w="4000" w:type="dxa"/>
            <w:gridSpan w:val="1"/>
            <w:noWrap/>
          </w:tcPr>
          <w:p>
            <w:pPr/>
            <w:r>
              <w:rPr>
                <w:b w:val="1"/>
                <w:bCs w:val="1"/>
              </w:rPr>
              <w:t xml:space="preserve">Cumulative progress since project start as of Jun 30, 2025</w:t>
            </w:r>
          </w:p>
        </w:tc>
      </w:tr>
      <w:tr>
        <w:trPr/>
        <w:tc>
          <w:tcPr>
            <w:tcW w:w="4000" w:type="dxa"/>
            <w:gridSpan w:val="1"/>
            <w:noWrap/>
          </w:tcPr>
          <w:p>
            <w:pPr/>
            <w:r>
              <w:rPr/>
              <w:t xml:space="preserve">1. Total area of landscapes under improved practices (GEF-7 Core Indicator 4)</w:t>
            </w:r>
          </w:p>
        </w:tc>
        <w:tc>
          <w:tcPr>
            <w:tcW w:w="2000" w:type="dxa"/>
            <w:gridSpan w:val="1"/>
            <w:noWrap/>
          </w:tcPr>
          <w:p>
            <w:pPr/>
            <w:r>
              <w:rPr/>
              <w:t xml:space="preserve">0</w:t>
            </w:r>
          </w:p>
        </w:tc>
        <w:tc>
          <w:tcPr>
            <w:tcW w:w="2000" w:type="dxa"/>
            <w:gridSpan w:val="1"/>
            <w:noWrap/>
          </w:tcPr>
          <w:p>
            <w:pPr/>
            <w:r>
              <w:rPr/>
              <w:t xml:space="preserve">0</w:t>
            </w:r>
          </w:p>
        </w:tc>
        <w:tc>
          <w:tcPr>
            <w:tcW w:w="2000" w:type="dxa"/>
            <w:gridSpan w:val="1"/>
            <w:noWrap/>
          </w:tcPr>
          <w:p>
            <w:pPr/>
            <w:r>
              <w:rPr/>
              <w:t xml:space="preserve">1,558,919 ha</w:t>
            </w:r>
          </w:p>
          <w:p>
            <w:pPr/>
            <w:r>
              <w:rPr/>
              <w:t xml:space="preserve"/>
            </w:r>
          </w:p>
          <w:p>
            <w:pPr/>
            <w:r>
              <w:rPr/>
              <w:t xml:space="preserve">(Improved management practices for biodiversity in 621,905 ha of critical habitat pasture zones; 563,949 hectares of critical habitat HCVF zones, 338,065 ha of community hunting concessions and 35,000 hectares of wildlife corridors.)</w:t>
            </w:r>
          </w:p>
          <w:p>
            <w:pPr/>
            <w:r>
              <w:rPr/>
              <w:t xml:space="preserve"/>
            </w:r>
          </w:p>
        </w:tc>
        <w:tc>
          <w:tcPr>
            <w:tcW w:w="4000" w:type="dxa"/>
            <w:gridSpan w:val="1"/>
            <w:noWrap/>
          </w:tcPr>
          <w:p>
            <w:pPr/>
            <w:r>
              <w:rPr>
                <w:i w:val="1"/>
                <w:iCs w:val="1"/>
              </w:rPr>
              <w:t xml:space="preserve">(not set or not applicable)</w:t>
            </w:r>
          </w:p>
        </w:tc>
        <w:tc>
          <w:tcPr>
            <w:tcW w:w="4000" w:type="dxa"/>
            <w:gridSpan w:val="1"/>
            <w:noWrap/>
          </w:tcPr>
          <w:p>
            <w:pPr/>
            <w:r>
              <w:rPr/>
              <w:t xml:space="preserve">On track - preparatory and implementation work covers 621,905 ha pasture, 563,949 ha HCV forests, 338,065 ha hunting concessions, and 35,000 ha corridors. Significant baseline mapping and consultations done; large area coverage already engaged.</w:t>
            </w:r>
          </w:p>
          <w:p>
            <w:pPr/>
            <w:r>
              <w:rPr/>
              <w:t xml:space="preserve"/>
            </w:r>
          </w:p>
          <w:p>
            <w:pPr/>
            <w:r>
              <w:rPr/>
              <w:t xml:space="preserve">Project activities contributing to improved management practices across 1,558,919 hectares of target landscapes were launched and are currently being implemented by the implementing partner, UNDP, together with the Responsible Parties — the Snow Leopard Trust (SLT) and CAMP Alatoo Public Foundation — in close cooperation with national partners, including the Ministry of Natural Resources, Ecology and Technical Supervision (MNRETS), the Forest Service under the Ministry of Emergency Situations (MES), district state administrations, and local communities.</w:t>
            </w:r>
          </w:p>
          <w:p>
            <w:pPr/>
            <w:r>
              <w:rPr/>
              <w:t xml:space="preserve">As part of the implementation, CAMP Alatoo PF has prepared maps for pilot aiyl aimaks and conducted consultations with local stakeholders to gather perceptions on pasture use and management and establishing pasture monitoring plots. At the same time, SLT is collecting data on Key Biodiversity Areas (KBAs) and compiling forest maps to support the identification and delineation of High Conservation Value Forest (HCVF) zones. (More detailed information in below sections).</w:t>
            </w:r>
          </w:p>
          <w:p>
            <w:pPr/>
            <w:r>
              <w:rPr/>
              <w:t xml:space="preserve"/>
            </w:r>
          </w:p>
          <w:p>
            <w:pPr/>
            <w:r>
              <w:rPr/>
              <w:t xml:space="preserve">At the very beginning of the project, an inception field mission was conducted to the Pamir-Alai region (Batken and Osh oblasts, 25 February – 2 March 2024). The mission engaged a wide range of stakeholders, including Members of Parliament (Ms. Dinara Ashimova and Ms. Kamila Talieva, Deputies of the Jogorku Kenesh), representatives of the Office of the Plenipotentiary Representative of the President in Osh oblast, district state administrations, forestry enterprises, protected areas, ayil aimaks, as well as women’s groups, local NGOs, and community members.</w:t>
            </w:r>
          </w:p>
          <w:p>
            <w:pPr/>
            <w:r>
              <w:rPr/>
              <w:t xml:space="preserve">The field consultations provided an opportunity to present the objectives of the project, identify local priorities, and collect inputs from communities and institutions. Stakeholders expressed strong support for the establishment of new protected areas, highlighted the urgency of sustainable forest and pasture management, and underscored the need for strengthening biodiversity monitoring and alternative livelihood opportunities. Women’s groups, including the Bai-Alay and Leilek, demonstrated interest in contributing through traditional knowledge, and community-based ecotourism initiatives.</w:t>
            </w:r>
          </w:p>
          <w:p>
            <w:pPr/>
            <w:r>
              <w:rPr/>
              <w:t xml:space="preserve">The mission also revealed several challenges, such as limited technical and material capacities of protected areas, lack of infrastructure for effective monitoring and enforcement, and vulnerabilities to climate change impacts. At the same time, national and local authorities confirmed their commitment to align the project with state policies and the country’s mountain and biodiversity agenda.</w:t>
            </w:r>
          </w:p>
          <w:p>
            <w:pPr/>
            <w:r>
              <w:rPr/>
              <w:t xml:space="preserve"/>
            </w:r>
          </w:p>
          <w:p>
            <w:pPr/>
            <w:r>
              <w:rPr/>
              <w:t xml:space="preserve">Evidence:</w:t>
            </w:r>
          </w:p>
          <w:p>
            <w:pPr/>
            <w:r>
              <w:rPr/>
              <w:t xml:space="preserve">Annex 01. Inception field visit report</w:t>
            </w:r>
          </w:p>
          <w:p>
            <w:pPr/>
            <w:r>
              <w:rPr/>
              <w:t xml:space="preserve">Annex 6. Pilot AAs_ATR_map</w:t>
            </w:r>
          </w:p>
          <w:p>
            <w:pPr/>
            <w:r>
              <w:rPr/>
              <w:t xml:space="preserve">Annex 6.2. Snow leopard distribution map</w:t>
            </w:r>
          </w:p>
        </w:tc>
      </w:tr>
      <w:tr>
        <w:trPr/>
        <w:tc>
          <w:tcPr>
            <w:tcW w:w="4000" w:type="dxa"/>
            <w:gridSpan w:val="1"/>
            <w:noWrap/>
          </w:tcPr>
          <w:p>
            <w:pPr/>
            <w:r>
              <w:rPr/>
              <w:t xml:space="preserve">2. # direct project beneficiaries:</w:t>
            </w:r>
          </w:p>
          <w:p>
            <w:pPr/>
            <w:r>
              <w:rPr/>
              <w:t xml:space="preserve"># of pasture user association members with improved sustainability of livelihoods (gender disaggregated)</w:t>
            </w:r>
          </w:p>
          <w:p>
            <w:pPr/>
            <w:r>
              <w:rPr/>
              <w:t xml:space="preserve"># of PA staff with enhanced individual capacity (gender disaggregated)</w:t>
            </w:r>
          </w:p>
          <w:p>
            <w:pPr/>
            <w:r>
              <w:rPr/>
              <w:t xml:space="preserve"># of forest management staff with enhanced individual capacity (gender disaggregated)</w:t>
            </w:r>
          </w:p>
          <w:p>
            <w:pPr/>
            <w:r>
              <w:rPr/>
              <w:t xml:space="preserve"/>
            </w:r>
          </w:p>
          <w:p>
            <w:pPr/>
            <w:r>
              <w:rPr/>
              <w:t xml:space="preserve">(GEF-7 Core Indicator 11)</w:t>
            </w:r>
          </w:p>
          <w:p>
            <w:pPr/>
            <w:r>
              <w:rPr/>
              <w:t xml:space="preserve"/>
            </w:r>
          </w:p>
        </w:tc>
        <w:tc>
          <w:tcPr>
            <w:tcW w:w="2000" w:type="dxa"/>
            <w:gridSpan w:val="1"/>
            <w:noWrap/>
          </w:tcPr>
          <w:p>
            <w:pPr/>
            <w:r>
              <w:rPr/>
              <w:t xml:space="preserve">N/A (zero beneficiaries)</w:t>
            </w:r>
          </w:p>
        </w:tc>
        <w:tc>
          <w:tcPr>
            <w:tcW w:w="2000" w:type="dxa"/>
            <w:gridSpan w:val="1"/>
            <w:noWrap/>
          </w:tcPr>
          <w:p>
            <w:pPr/>
            <w:r>
              <w:rPr/>
              <w:t xml:space="preserve">Total: 2,050:</w:t>
            </w:r>
          </w:p>
          <w:p>
            <w:pPr/>
            <w:r>
              <w:rPr/>
              <w:t xml:space="preserve">Local resource users: Total: 2,000 (1,000 men; 1,000 women)</w:t>
            </w:r>
          </w:p>
          <w:p>
            <w:pPr/>
            <w:r>
              <w:rPr/>
              <w:t xml:space="preserve">PA staff: &gt;20 PA staff with enhanced capacity (5 women, 15 men)</w:t>
            </w:r>
          </w:p>
          <w:p>
            <w:pPr/>
            <w:r>
              <w:rPr/>
              <w:t xml:space="preserve">Forestry staff: &gt;40 forestry staff with enhanced capacity (10 women, 30 men)</w:t>
            </w:r>
          </w:p>
          <w:p>
            <w:pPr/>
            <w:r>
              <w:rPr/>
              <w:t xml:space="preserve"/>
            </w:r>
          </w:p>
        </w:tc>
        <w:tc>
          <w:tcPr>
            <w:tcW w:w="2000" w:type="dxa"/>
            <w:gridSpan w:val="1"/>
            <w:noWrap/>
          </w:tcPr>
          <w:p>
            <w:pPr/>
            <w:r>
              <w:rPr/>
              <w:t xml:space="preserve">Total: 94,883 (50% women):</w:t>
            </w:r>
          </w:p>
          <w:p>
            <w:pPr/>
            <w:r>
              <w:rPr/>
              <w:t xml:space="preserve">Local resource users: Total: 94,640 (47,320 men; 47,320 women)</w:t>
            </w:r>
          </w:p>
          <w:p>
            <w:pPr/>
            <w:r>
              <w:rPr/>
              <w:t xml:space="preserve">PA staff: &gt;81 PA staff with enhanced capacity (20 women, 61 men)</w:t>
            </w:r>
          </w:p>
          <w:p>
            <w:pPr/>
            <w:r>
              <w:rPr/>
              <w:t xml:space="preserve">Forestry staff: &gt;162 forestry staff with enhanced capacity (40 women, 122 men)</w:t>
            </w:r>
          </w:p>
          <w:p>
            <w:pPr/>
            <w:r>
              <w:rPr/>
              <w:t xml:space="preserve"/>
            </w:r>
          </w:p>
          <w:p>
            <w:pPr/>
            <w:r>
              <w:rPr/>
              <w:t xml:space="preserve">(Total population of 94,640 in the 18 AAs in/around the 3 new large PAs – see Pasture Expert 2nd Interim Report, Table 1. These are the AAs that will likely have the greatest direct benefit from the project). The 5 existing PAs currently have 81 permanent staff (see METTs). The 5 priority leskhozes have 162 staff.</w:t>
            </w:r>
          </w:p>
          <w:p>
            <w:pPr/>
            <w:r>
              <w:rPr/>
              <w:t xml:space="preserve"/>
            </w:r>
          </w:p>
        </w:tc>
        <w:tc>
          <w:tcPr>
            <w:tcW w:w="4000" w:type="dxa"/>
            <w:gridSpan w:val="1"/>
            <w:noWrap/>
          </w:tcPr>
          <w:p>
            <w:pPr/>
            <w:r>
              <w:rPr>
                <w:i w:val="1"/>
                <w:iCs w:val="1"/>
              </w:rPr>
              <w:t xml:space="preserve">(not set or not applicable)</w:t>
            </w:r>
          </w:p>
        </w:tc>
        <w:tc>
          <w:tcPr>
            <w:tcW w:w="4000" w:type="dxa"/>
            <w:gridSpan w:val="1"/>
            <w:noWrap/>
          </w:tcPr>
          <w:p>
            <w:pPr/>
            <w:r>
              <w:rPr/>
              <w:t xml:space="preserve">On track - groundwork includes FMIS upgrade, capacity-building ToRs, and digital integration discussions.</w:t>
            </w:r>
          </w:p>
          <w:p>
            <w:pPr/>
            <w:r>
              <w:rPr/>
              <w:t xml:space="preserve"/>
            </w:r>
          </w:p>
          <w:p>
            <w:pPr/>
            <w:r>
              <w:rPr/>
              <w:t xml:space="preserve">To enhance the capacity of over 162 forestry staff from 10 project forest enterprises, training is planned upon completion of the modification of the existing Forest Management Information System (FMIS) of the Forest Service MES KR.</w:t>
            </w:r>
          </w:p>
          <w:p>
            <w:pPr/>
            <w:r>
              <w:rPr/>
              <w:t xml:space="preserve">In this regard, the following progress has been made by the RP Camp Ala-Too:</w:t>
            </w:r>
          </w:p>
          <w:p>
            <w:pPr/>
            <w:r>
              <w:rPr/>
              <w:t xml:space="preserve">•	The Terms of Reference (ToR) for FMIS modification was developed and approved by the Ministry of Digital Development of the Kyrgyz Republic;</w:t>
            </w:r>
          </w:p>
          <w:p>
            <w:pPr/>
            <w:r>
              <w:rPr/>
              <w:t xml:space="preserve">•	The Central Asian Institute of Applied Geosciences (CAIAG) was selected to implement the modifications, and a contract was signed with CAMP Alatoo;</w:t>
            </w:r>
          </w:p>
          <w:p>
            <w:pPr/>
            <w:r>
              <w:rPr/>
              <w:t xml:space="preserve">•	FMIS improvements are currently underway with the involvement of key stakeholders.</w:t>
            </w:r>
          </w:p>
          <w:p>
            <w:pPr/>
            <w:r>
              <w:rPr/>
              <w:t xml:space="preserve">In addition, a meeting was held with the "Tunduk" State Enterprise (the national digital integration platform) to discuss the potential integration of FMIS into the Tunduk system, following an official request from the Forest Service.</w:t>
            </w:r>
          </w:p>
          <w:p>
            <w:pPr/>
            <w:r>
              <w:rPr/>
              <w:t xml:space="preserve"/>
            </w:r>
          </w:p>
          <w:p>
            <w:pPr/>
            <w:r>
              <w:rPr/>
              <w:t xml:space="preserve">Evidences:</w:t>
            </w:r>
          </w:p>
          <w:p>
            <w:pPr/>
            <w:r>
              <w:rPr/>
              <w:t xml:space="preserve">Evidence 1. ToR FMIS-Rus</w:t>
            </w:r>
          </w:p>
          <w:p>
            <w:pPr/>
            <w:r>
              <w:rPr/>
              <w:t xml:space="preserve">Annex 2. FMIS TOR approval from Digital Minsitry</w:t>
            </w:r>
          </w:p>
          <w:p>
            <w:pPr/>
            <w:r>
              <w:rPr/>
              <w:t xml:space="preserve">Annex 3_Contract_FMIS_CAIAG</w:t>
            </w:r>
          </w:p>
          <w:p>
            <w:pPr/>
            <w:r>
              <w:rPr/>
              <w:t xml:space="preserve">Annex 4. Interim reports on FMIS Improvement</w:t>
            </w:r>
          </w:p>
          <w:p>
            <w:pPr/>
            <w:r>
              <w:rPr/>
              <w:t xml:space="preserve">Annex 36. Minutes from working meetings with project forestry enterprises</w:t>
            </w:r>
          </w:p>
        </w:tc>
      </w:tr>
      <w:tr>
        <w:trPr/>
        <w:tc>
          <w:tcPr>
            <w:tcW w:w="4000" w:type="dxa"/>
            <w:gridSpan w:val="1"/>
            <w:noWrap/>
          </w:tcPr>
          <w:p>
            <w:pPr/>
            <w:r>
              <w:rPr/>
              <w:t xml:space="preserve">3. Species/ecosystem Indicators:</w:t>
            </w:r>
          </w:p>
          <w:p>
            <w:pPr/>
            <w:r>
              <w:rPr/>
              <w:t xml:space="preserve"/>
            </w:r>
          </w:p>
          <w:p>
            <w:pPr/>
            <w:r>
              <w:rPr/>
              <w:t xml:space="preserve">Pamir-Alai mountain ecosystem, flora:</w:t>
            </w:r>
          </w:p>
          <w:p>
            <w:pPr/>
            <w:r>
              <w:rPr/>
              <w:t xml:space="preserve">- Wild hawthorne sp. (Crataegus knorringiana)</w:t>
            </w:r>
          </w:p>
          <w:p>
            <w:pPr/>
            <w:r>
              <w:rPr/>
              <w:t xml:space="preserve">- Area of juniper forest</w:t>
            </w:r>
          </w:p>
          <w:p>
            <w:pPr/>
            <w:r>
              <w:rPr/>
              <w:t xml:space="preserve">- Degraded area of mountain pastures</w:t>
            </w:r>
          </w:p>
          <w:p>
            <w:pPr/>
            <w:r>
              <w:rPr/>
              <w:t xml:space="preserve">(Monitoring plots to be confirmed during 1st year of project)</w:t>
            </w:r>
          </w:p>
          <w:p>
            <w:pPr/>
            <w:r>
              <w:rPr/>
              <w:t xml:space="preserve"/>
            </w:r>
          </w:p>
          <w:p>
            <w:pPr/>
            <w:r>
              <w:rPr/>
              <w:t xml:space="preserve">Pamir-Alai mountain ecosystem, fauna:</w:t>
            </w:r>
          </w:p>
          <w:p>
            <w:pPr/>
            <w:r>
              <w:rPr/>
              <w:t xml:space="preserve">- Snow leopard (Panthera uncia)</w:t>
            </w:r>
          </w:p>
          <w:p>
            <w:pPr/>
            <w:r>
              <w:rPr/>
              <w:t xml:space="preserve">- Central Asian ibex (Capra sibirica alaiana)</w:t>
            </w:r>
          </w:p>
          <w:p>
            <w:pPr/>
            <w:r>
              <w:rPr/>
              <w:t xml:space="preserve">- Marco Polo argali (Ovis ammon polii)</w:t>
            </w:r>
          </w:p>
          <w:p>
            <w:pPr/>
            <w:r>
              <w:rPr/>
              <w:t xml:space="preserve">- Severtsov's mountain sheep (Ovis ammon severtzowi)</w:t>
            </w:r>
          </w:p>
          <w:p>
            <w:pPr/>
            <w:r>
              <w:rPr/>
              <w:t xml:space="preserve">- Desert monitor (Varanus griseus)</w:t>
            </w:r>
          </w:p>
          <w:p>
            <w:pPr/>
            <w:r>
              <w:rPr/>
              <w:t xml:space="preserve">- Golden eagle (Aquila chrysaetos)</w:t>
            </w:r>
          </w:p>
          <w:p>
            <w:pPr/>
            <w:r>
              <w:rPr/>
              <w:t xml:space="preserve">- River otter (Lutra lutra seistanica) in Alai region</w:t>
            </w:r>
          </w:p>
          <w:p>
            <w:pPr/>
            <w:r>
              <w:rPr/>
              <w:t xml:space="preserve">- Snow pigeon (Columba leuconota) in Alai region</w:t>
            </w:r>
          </w:p>
          <w:p>
            <w:pPr/>
            <w:r>
              <w:rPr/>
              <w:t xml:space="preserve">(Baseline figures to be aggregated during 1st year of project)</w:t>
            </w:r>
          </w:p>
          <w:p>
            <w:pPr/>
            <w:r>
              <w:rPr/>
              <w:t xml:space="preserve"/>
            </w:r>
          </w:p>
        </w:tc>
        <w:tc>
          <w:tcPr>
            <w:tcW w:w="2000" w:type="dxa"/>
            <w:gridSpan w:val="1"/>
            <w:noWrap/>
          </w:tcPr>
          <w:p>
            <w:pPr/>
            <w:r>
              <w:rPr/>
              <w:t xml:space="preserve">Pamir-Alai mountain ecosystems, flora:</w:t>
            </w:r>
          </w:p>
          <w:p>
            <w:pPr/>
            <w:r>
              <w:rPr/>
              <w:t xml:space="preserve">- Wild hawthorne sp. (Crataegus knorringiana)</w:t>
            </w:r>
          </w:p>
          <w:p>
            <w:pPr/>
            <w:r>
              <w:rPr/>
              <w:t xml:space="preserve">- Area of juniper forest</w:t>
            </w:r>
          </w:p>
          <w:p>
            <w:pPr/>
            <w:r>
              <w:rPr/>
              <w:t xml:space="preserve">- Degraded area of mountain pastures</w:t>
            </w:r>
          </w:p>
          <w:p>
            <w:pPr/>
            <w:r>
              <w:rPr/>
              <w:t xml:space="preserve">(Monitoring plots to be confirmed during 1st year of project)</w:t>
            </w:r>
          </w:p>
          <w:p>
            <w:pPr/>
            <w:r>
              <w:rPr/>
              <w:t xml:space="preserve"/>
            </w:r>
          </w:p>
          <w:p>
            <w:pPr/>
            <w:r>
              <w:rPr/>
              <w:t xml:space="preserve"/>
            </w:r>
          </w:p>
          <w:p>
            <w:pPr/>
            <w:r>
              <w:rPr/>
              <w:t xml:space="preserve">Pamir-Alai ecosystems, fauna:</w:t>
            </w:r>
          </w:p>
          <w:p>
            <w:pPr/>
            <w:r>
              <w:rPr/>
              <w:t xml:space="preserve">- Snow leopard (Panthera uncia)</w:t>
            </w:r>
          </w:p>
          <w:p>
            <w:pPr/>
            <w:r>
              <w:rPr/>
              <w:t xml:space="preserve">- Central Asian ibex (Capra sibirica alaiana)</w:t>
            </w:r>
          </w:p>
          <w:p>
            <w:pPr/>
            <w:r>
              <w:rPr/>
              <w:t xml:space="preserve">- Marco Polo argali (Ovis ammon polii)</w:t>
            </w:r>
          </w:p>
          <w:p>
            <w:pPr/>
            <w:r>
              <w:rPr/>
              <w:t xml:space="preserve">- Severtsov's mountain sheep (Ovis ammon severtzowi)</w:t>
            </w:r>
          </w:p>
          <w:p>
            <w:pPr/>
            <w:r>
              <w:rPr/>
              <w:t xml:space="preserve">- Desert monitor (Varanus griseus)</w:t>
            </w:r>
          </w:p>
          <w:p>
            <w:pPr/>
            <w:r>
              <w:rPr/>
              <w:t xml:space="preserve">- Golden eagle (Aquila chrysaetos)</w:t>
            </w:r>
          </w:p>
          <w:p>
            <w:pPr/>
            <w:r>
              <w:rPr/>
              <w:t xml:space="preserve">- River otter (Lutra lutra seistanica) in Alai region – 15-20 otters</w:t>
            </w:r>
          </w:p>
          <w:p>
            <w:pPr/>
            <w:r>
              <w:rPr/>
              <w:t xml:space="preserve">- Snow pigeon (Columba leuconota) in Alai region – 5-6 pairs</w:t>
            </w:r>
          </w:p>
          <w:p>
            <w:pPr/>
            <w:r>
              <w:rPr/>
              <w:t xml:space="preserve"/>
            </w:r>
          </w:p>
          <w:p>
            <w:pPr/>
            <w:r>
              <w:rPr/>
              <w:t xml:space="preserve"/>
            </w:r>
          </w:p>
        </w:tc>
        <w:tc>
          <w:tcPr>
            <w:tcW w:w="2000" w:type="dxa"/>
            <w:gridSpan w:val="1"/>
            <w:noWrap/>
          </w:tcPr>
          <w:p>
            <w:pPr/>
            <w:r>
              <w:rPr/>
              <w:t xml:space="preserve">No change (project outcomes and impacts not achieved at this stage)</w:t>
            </w:r>
          </w:p>
        </w:tc>
        <w:tc>
          <w:tcPr>
            <w:tcW w:w="2000" w:type="dxa"/>
            <w:gridSpan w:val="1"/>
            <w:noWrap/>
          </w:tcPr>
          <w:p>
            <w:pPr/>
            <w:r>
              <w:rPr/>
              <w:t xml:space="preserve">Flora: Non-deterioration of baseline status</w:t>
            </w:r>
          </w:p>
          <w:p>
            <w:pPr/>
            <w:r>
              <w:rPr/>
              <w:t xml:space="preserve">(Monitoring plots to be confirmed during 1st year of project)</w:t>
            </w:r>
          </w:p>
          <w:p>
            <w:pPr/>
            <w:r>
              <w:rPr/>
              <w:t xml:space="preserve"/>
            </w:r>
          </w:p>
          <w:p>
            <w:pPr/>
            <w:r>
              <w:rPr/>
              <w:t xml:space="preserve">Fauna: Average population increase relative to baseline over a rolling 3 year period</w:t>
            </w:r>
          </w:p>
          <w:p>
            <w:pPr/>
            <w:r>
              <w:rPr/>
              <w:t xml:space="preserve">(Baseline figures to be aggregated during 1st year of project)</w:t>
            </w:r>
          </w:p>
          <w:p>
            <w:pPr/>
            <w:r>
              <w:rPr/>
              <w:t xml:space="preserve"/>
            </w:r>
          </w:p>
        </w:tc>
        <w:tc>
          <w:tcPr>
            <w:tcW w:w="4000" w:type="dxa"/>
            <w:gridSpan w:val="1"/>
            <w:noWrap/>
          </w:tcPr>
          <w:p>
            <w:pPr/>
            <w:r>
              <w:rPr>
                <w:i w:val="1"/>
                <w:iCs w:val="1"/>
              </w:rPr>
              <w:t xml:space="preserve">(not set or not applicable)</w:t>
            </w:r>
          </w:p>
        </w:tc>
        <w:tc>
          <w:tcPr>
            <w:tcW w:w="4000" w:type="dxa"/>
            <w:gridSpan w:val="1"/>
            <w:noWrap/>
          </w:tcPr>
          <w:p>
            <w:pPr/>
            <w:r>
              <w:rPr/>
              <w:t xml:space="preserve">On track - Baselines under collection; KBA species/geodata compiled; NABU camera trap dataset processed (&gt;37,000 nights).</w:t>
            </w:r>
          </w:p>
          <w:p>
            <w:pPr/>
            <w:r>
              <w:rPr/>
              <w:t xml:space="preserve"/>
            </w:r>
          </w:p>
          <w:p>
            <w:pPr/>
            <w:r>
              <w:rPr/>
              <w:t xml:space="preserve">The Responsible Party Snow Leopard Trust (SLT) has started the process of collecting data on key species and producing maps, and the work is currently ongoing. As of the reporting period, a KBA Geo-package and Excel spreadsheet were created, listing trigger species, IUCN threatened species, and threats for Pamir-Alai’s Key Biodiversity Areas. NABU’s 2020–2023 camera trap data from Sarkent, Surmatash, Kichik-Alay, and Fergana ranges (166 sites, &gt;37,000 trap nights) are being processed with AI and manual review to map ungulate distributions.  Currently, the collection of other base maps and data on flora and fauna in the region is ongoing.</w:t>
            </w:r>
          </w:p>
          <w:p>
            <w:pPr/>
            <w:r>
              <w:rPr/>
              <w:t xml:space="preserve"/>
            </w:r>
          </w:p>
          <w:p>
            <w:pPr/>
            <w:r>
              <w:rPr/>
              <w:t xml:space="preserve">Evidences:</w:t>
            </w:r>
          </w:p>
          <w:p>
            <w:pPr/>
            <w:r>
              <w:rPr/>
              <w:t xml:space="preserve">Annex 5. Pamir Alai NABU_data_check</w:t>
            </w:r>
          </w:p>
          <w:p>
            <w:pPr/>
            <w:r>
              <w:rPr/>
              <w:t xml:space="preserve"/>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1</w:t>
            </w:r>
          </w:p>
          <w:p>
            <w:pPr/>
            <w:r>
              <w:rPr>
                <w:b w:val="1"/>
                <w:bCs w:val="1"/>
              </w:rPr>
              <w:t xml:space="preserve">Outcome 1: Ecosystem services and sustainable livelihoods in Pamir-Alai wider landscape (outside PAs) secured through improved land use planning and management</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2024</w:t>
            </w:r>
          </w:p>
        </w:tc>
        <w:tc>
          <w:tcPr>
            <w:tcW w:w="4000" w:type="dxa"/>
            <w:gridSpan w:val="1"/>
            <w:noWrap/>
          </w:tcPr>
          <w:p>
            <w:pPr/>
            <w:r>
              <w:rPr>
                <w:b w:val="1"/>
                <w:bCs w:val="1"/>
              </w:rPr>
              <w:t xml:space="preserve">Cumulative progress since project start as of Jun 30, 2025</w:t>
            </w:r>
          </w:p>
        </w:tc>
      </w:tr>
      <w:tr>
        <w:trPr/>
        <w:tc>
          <w:tcPr>
            <w:tcW w:w="4000" w:type="dxa"/>
            <w:gridSpan w:val="1"/>
            <w:noWrap/>
          </w:tcPr>
          <w:p>
            <w:pPr/>
            <w:r>
              <w:rPr/>
              <w:t xml:space="preserve">4. Area of landscapes under improved management to benefit biodiversity: wildlife corridors under improved biodiversity management (GEF-7 Core sub-indicator 4.1)</w:t>
            </w:r>
          </w:p>
        </w:tc>
        <w:tc>
          <w:tcPr>
            <w:tcW w:w="2000" w:type="dxa"/>
            <w:gridSpan w:val="1"/>
            <w:noWrap/>
          </w:tcPr>
          <w:p>
            <w:pPr/>
            <w:r>
              <w:rPr/>
              <w:t xml:space="preserve">0</w:t>
            </w:r>
          </w:p>
        </w:tc>
        <w:tc>
          <w:tcPr>
            <w:tcW w:w="2000" w:type="dxa"/>
            <w:gridSpan w:val="1"/>
            <w:noWrap/>
          </w:tcPr>
          <w:p>
            <w:pPr/>
            <w:r>
              <w:rPr/>
              <w:t xml:space="preserve">0 ha (implementation still in progress)</w:t>
            </w:r>
          </w:p>
        </w:tc>
        <w:tc>
          <w:tcPr>
            <w:tcW w:w="2000" w:type="dxa"/>
            <w:gridSpan w:val="1"/>
            <w:noWrap/>
          </w:tcPr>
          <w:p>
            <w:pPr/>
            <w:r>
              <w:rPr/>
              <w:t xml:space="preserve">35,000 of wildlife corridors under improved management</w:t>
            </w:r>
          </w:p>
        </w:tc>
        <w:tc>
          <w:tcPr>
            <w:tcW w:w="4000" w:type="dxa"/>
            <w:gridSpan w:val="1"/>
            <w:noWrap/>
          </w:tcPr>
          <w:p>
            <w:pPr/>
            <w:r>
              <w:rPr>
                <w:i w:val="1"/>
                <w:iCs w:val="1"/>
              </w:rPr>
              <w:t xml:space="preserve">(not set or not applicable)</w:t>
            </w:r>
          </w:p>
        </w:tc>
        <w:tc>
          <w:tcPr>
            <w:tcW w:w="4000" w:type="dxa"/>
            <w:gridSpan w:val="1"/>
            <w:noWrap/>
          </w:tcPr>
          <w:p>
            <w:pPr/>
            <w:r>
              <w:rPr/>
              <w:t xml:space="preserve">The activity has not started yet.</w:t>
            </w:r>
          </w:p>
        </w:tc>
      </w:tr>
      <w:tr>
        <w:trPr/>
        <w:tc>
          <w:tcPr>
            <w:tcW w:w="4000" w:type="dxa"/>
            <w:gridSpan w:val="1"/>
            <w:noWrap/>
          </w:tcPr>
          <w:p>
            <w:pPr/>
            <w:r>
              <w:rPr/>
              <w:t xml:space="preserve">5. Area of sustainable pasture management implementation (degradation reduced) (GEF Core sub-indicator 4.3)</w:t>
            </w:r>
          </w:p>
        </w:tc>
        <w:tc>
          <w:tcPr>
            <w:tcW w:w="2000" w:type="dxa"/>
            <w:gridSpan w:val="1"/>
            <w:noWrap/>
          </w:tcPr>
          <w:p>
            <w:pPr/>
            <w:r>
              <w:rPr/>
              <w:t xml:space="preserve">No sustainable pasture management in target areas</w:t>
            </w:r>
          </w:p>
        </w:tc>
        <w:tc>
          <w:tcPr>
            <w:tcW w:w="2000" w:type="dxa"/>
            <w:gridSpan w:val="1"/>
            <w:noWrap/>
          </w:tcPr>
          <w:p>
            <w:pPr/>
            <w:r>
              <w:rPr/>
              <w:t xml:space="preserve">Sustainable pasture management planning initiated with stakeholders for 621,905 ha of pastureland in and around KBAs including new PAs</w:t>
            </w:r>
          </w:p>
        </w:tc>
        <w:tc>
          <w:tcPr>
            <w:tcW w:w="2000" w:type="dxa"/>
            <w:gridSpan w:val="1"/>
            <w:noWrap/>
          </w:tcPr>
          <w:p>
            <w:pPr/>
            <w:r>
              <w:rPr/>
              <w:t xml:space="preserve">Sustainable pasture management under implementation for 621,905 ha of pastureland in and around KBAs including new PAs</w:t>
            </w:r>
          </w:p>
        </w:tc>
        <w:tc>
          <w:tcPr>
            <w:tcW w:w="4000" w:type="dxa"/>
            <w:gridSpan w:val="1"/>
            <w:noWrap/>
          </w:tcPr>
          <w:p>
            <w:pPr/>
            <w:r>
              <w:rPr>
                <w:i w:val="1"/>
                <w:iCs w:val="1"/>
              </w:rPr>
              <w:t xml:space="preserve">(not set or not applicable)</w:t>
            </w:r>
          </w:p>
        </w:tc>
        <w:tc>
          <w:tcPr>
            <w:tcW w:w="4000" w:type="dxa"/>
            <w:gridSpan w:val="1"/>
            <w:noWrap/>
          </w:tcPr>
          <w:p>
            <w:pPr/>
            <w:r>
              <w:rPr/>
              <w:t xml:space="preserve">On track – boundaries updated post-administrative reform; maps and baseline perceptions collected.</w:t>
            </w:r>
          </w:p>
          <w:p>
            <w:pPr/>
            <w:r>
              <w:rPr/>
              <w:t xml:space="preserve"/>
            </w:r>
          </w:p>
          <w:p>
            <w:pPr/>
            <w:r>
              <w:rPr/>
              <w:t xml:space="preserve">To advance sustainable pasture management for 621,905 ha of pastureland in and around Key Biodiversity Areas (KBAs), including new protected areas (PAs), in the Pamir-Alai region, preparatory activities have been initiated. Following the administrative-territorial reform, the number of Aiyl Aimaks (AAs) in the project area decreased from 41 to 28, but the project area expanded due to the merger of aiyl aimaks. Preparatory work included updating AA boundaries, preparing pastureland maps for each administrative unit, and collecting data on local perceptions of pasture conditions (</w:t>
            </w:r>
          </w:p>
          <w:p>
            <w:pPr/>
            <w:r>
              <w:rPr/>
              <w:t xml:space="preserve"/>
            </w:r>
          </w:p>
          <w:p>
            <w:pPr/>
            <w:r>
              <w:rPr/>
              <w:t xml:space="preserve"/>
            </w:r>
          </w:p>
          <w:p>
            <w:pPr/>
            <w:r>
              <w:rPr/>
              <w:t xml:space="preserve">Evidences:</w:t>
            </w:r>
          </w:p>
          <w:p>
            <w:pPr/>
            <w:r>
              <w:rPr/>
              <w:t xml:space="preserve">Annex 6. Pilot AAs_ATR_map</w:t>
            </w:r>
          </w:p>
          <w:p>
            <w:pPr/>
            <w:r>
              <w:rPr/>
              <w:t xml:space="preserve">Annex 10. Pasture monitoring visit_Batken</w:t>
            </w:r>
          </w:p>
          <w:p>
            <w:pPr/>
            <w:r>
              <w:rPr/>
              <w:t xml:space="preserve">Annex 11. Pasture monitoring visit_Osh</w:t>
            </w:r>
          </w:p>
          <w:p>
            <w:pPr/>
            <w:r>
              <w:rPr/>
              <w:t xml:space="preserve">Annex 12. ToR for development of technical TOR for EJK</w:t>
            </w:r>
          </w:p>
          <w:p>
            <w:pPr/>
            <w:r>
              <w:rPr/>
              <w:t xml:space="preserve"/>
            </w:r>
          </w:p>
        </w:tc>
      </w:tr>
      <w:tr>
        <w:trPr/>
        <w:tc>
          <w:tcPr>
            <w:tcW w:w="4000" w:type="dxa"/>
            <w:gridSpan w:val="1"/>
            <w:noWrap/>
          </w:tcPr>
          <w:p>
            <w:pPr/>
            <w:r>
              <w:rPr/>
              <w:t xml:space="preserve">6. Area of degraded pastureland restored (GEF Core sub-indicator 3.3)</w:t>
            </w:r>
          </w:p>
        </w:tc>
        <w:tc>
          <w:tcPr>
            <w:tcW w:w="2000" w:type="dxa"/>
            <w:gridSpan w:val="1"/>
            <w:noWrap/>
          </w:tcPr>
          <w:p>
            <w:pPr/>
            <w:r>
              <w:rPr/>
              <w:t xml:space="preserve">0 ha</w:t>
            </w:r>
          </w:p>
        </w:tc>
        <w:tc>
          <w:tcPr>
            <w:tcW w:w="2000" w:type="dxa"/>
            <w:gridSpan w:val="1"/>
            <w:noWrap/>
          </w:tcPr>
          <w:p>
            <w:pPr/>
            <w:r>
              <w:rPr/>
              <w:t xml:space="preserve">0 ha (implementation still in progress)</w:t>
            </w:r>
          </w:p>
        </w:tc>
        <w:tc>
          <w:tcPr>
            <w:tcW w:w="2000" w:type="dxa"/>
            <w:gridSpan w:val="1"/>
            <w:noWrap/>
          </w:tcPr>
          <w:p>
            <w:pPr/>
            <w:r>
              <w:rPr/>
              <w:t xml:space="preserve">19,500 ha of degraded pastureland restored</w:t>
            </w:r>
          </w:p>
        </w:tc>
        <w:tc>
          <w:tcPr>
            <w:tcW w:w="4000" w:type="dxa"/>
            <w:gridSpan w:val="1"/>
            <w:noWrap/>
          </w:tcPr>
          <w:p>
            <w:pPr/>
            <w:r>
              <w:rPr>
                <w:i w:val="1"/>
                <w:iCs w:val="1"/>
              </w:rPr>
              <w:t xml:space="preserve">(not set or not applicable)</w:t>
            </w:r>
          </w:p>
        </w:tc>
        <w:tc>
          <w:tcPr>
            <w:tcW w:w="4000" w:type="dxa"/>
            <w:gridSpan w:val="1"/>
            <w:noWrap/>
          </w:tcPr>
          <w:p>
            <w:pPr/>
            <w:r>
              <w:rPr/>
              <w:t xml:space="preserve">Not started yet, the activities are scheduled later.</w:t>
            </w:r>
          </w:p>
        </w:tc>
      </w:tr>
      <w:tr>
        <w:trPr/>
        <w:tc>
          <w:tcPr>
            <w:tcW w:w="4000" w:type="dxa"/>
            <w:gridSpan w:val="1"/>
            <w:noWrap/>
          </w:tcPr>
          <w:p>
            <w:pPr/>
            <w:r>
              <w:rPr/>
              <w:t xml:space="preserve">7. Area of high conservation value forest under improved management (degradation reduced) (GEF Core sub-indicator 4.4)</w:t>
            </w:r>
          </w:p>
        </w:tc>
        <w:tc>
          <w:tcPr>
            <w:tcW w:w="2000" w:type="dxa"/>
            <w:gridSpan w:val="1"/>
            <w:noWrap/>
          </w:tcPr>
          <w:p>
            <w:pPr/>
            <w:r>
              <w:rPr/>
              <w:t xml:space="preserve">0 ha</w:t>
            </w:r>
          </w:p>
        </w:tc>
        <w:tc>
          <w:tcPr>
            <w:tcW w:w="2000" w:type="dxa"/>
            <w:gridSpan w:val="1"/>
            <w:noWrap/>
          </w:tcPr>
          <w:p>
            <w:pPr/>
            <w:r>
              <w:rPr/>
              <w:t xml:space="preserve">0 ha</w:t>
            </w:r>
          </w:p>
        </w:tc>
        <w:tc>
          <w:tcPr>
            <w:tcW w:w="2000" w:type="dxa"/>
            <w:gridSpan w:val="1"/>
            <w:noWrap/>
          </w:tcPr>
          <w:p>
            <w:pPr/>
            <w:r>
              <w:rPr/>
              <w:t xml:space="preserve">140,309.5 ha</w:t>
            </w:r>
          </w:p>
          <w:p>
            <w:pPr/>
            <w:r>
              <w:rPr/>
              <w:t xml:space="preserve"/>
            </w:r>
          </w:p>
          <w:p>
            <w:pPr/>
            <w:r>
              <w:rPr/>
              <w:t xml:space="preserve">(Area of actual forest covered land within 5 priority leskhozes: Leilek, Uchkorgon, Kara-Kulja, Alai, Nookat)</w:t>
            </w:r>
          </w:p>
          <w:p>
            <w:pPr/>
            <w:r>
              <w:rPr/>
              <w:t xml:space="preserve"/>
            </w:r>
          </w:p>
        </w:tc>
        <w:tc>
          <w:tcPr>
            <w:tcW w:w="4000" w:type="dxa"/>
            <w:gridSpan w:val="1"/>
            <w:noWrap/>
          </w:tcPr>
          <w:p>
            <w:pPr/>
            <w:r>
              <w:rPr>
                <w:i w:val="1"/>
                <w:iCs w:val="1"/>
              </w:rPr>
              <w:t xml:space="preserve">(not set or not applicable)</w:t>
            </w:r>
          </w:p>
        </w:tc>
        <w:tc>
          <w:tcPr>
            <w:tcW w:w="4000" w:type="dxa"/>
            <w:gridSpan w:val="1"/>
            <w:noWrap/>
          </w:tcPr>
          <w:p>
            <w:pPr/>
            <w:r>
              <w:rPr/>
              <w:t xml:space="preserve">On track - Forest Service consultations and TOR for HCVF expert prepared.</w:t>
            </w:r>
          </w:p>
          <w:p>
            <w:pPr/>
            <w:r>
              <w:rPr/>
              <w:t xml:space="preserve"/>
            </w:r>
          </w:p>
          <w:p>
            <w:pPr/>
            <w:r>
              <w:rPr/>
              <w:t xml:space="preserve">Preparatory work is ongoing, with initial meetings held with the Forest Service under the Kyrgyz Republic’s Ministry of Emergency Situations to discuss High Conservation Value Forests (HCVFs) and gather baseline forest maps. Currently an expert on defining the HCVF categories are being contracted by RP SLT.</w:t>
            </w:r>
          </w:p>
          <w:p>
            <w:pPr/>
            <w:r>
              <w:rPr/>
              <w:t xml:space="preserve"/>
            </w:r>
          </w:p>
          <w:p>
            <w:pPr/>
            <w:r>
              <w:rPr/>
              <w:t xml:space="preserve">Evidence:</w:t>
            </w:r>
          </w:p>
          <w:p>
            <w:pPr/>
            <w:r>
              <w:rPr/>
              <w:t xml:space="preserve">Annex 13. TOR-HCVF Mapping</w:t>
            </w:r>
          </w:p>
          <w:p>
            <w:pPr/>
            <w:r>
              <w:rPr/>
              <w:t xml:space="preserve">Annex 36. Minutes from working meetings with project forestry enterprises</w:t>
            </w:r>
          </w:p>
          <w:p>
            <w:pPr/>
            <w:r>
              <w:rPr/>
              <w:t xml:space="preserve"/>
            </w:r>
          </w:p>
        </w:tc>
      </w:tr>
      <w:tr>
        <w:trPr/>
        <w:tc>
          <w:tcPr>
            <w:tcW w:w="4000" w:type="dxa"/>
            <w:gridSpan w:val="1"/>
            <w:noWrap/>
          </w:tcPr>
          <w:p>
            <w:pPr/>
            <w:r>
              <w:rPr/>
              <w:t xml:space="preserve">8. Area of forest and forest land restored (GEF Core sub-indicator 3.2)</w:t>
            </w:r>
          </w:p>
        </w:tc>
        <w:tc>
          <w:tcPr>
            <w:tcW w:w="2000" w:type="dxa"/>
            <w:gridSpan w:val="1"/>
            <w:noWrap/>
          </w:tcPr>
          <w:p>
            <w:pPr/>
            <w:r>
              <w:rPr/>
              <w:t xml:space="preserve">0 ha</w:t>
            </w:r>
          </w:p>
        </w:tc>
        <w:tc>
          <w:tcPr>
            <w:tcW w:w="2000" w:type="dxa"/>
            <w:gridSpan w:val="1"/>
            <w:noWrap/>
          </w:tcPr>
          <w:p>
            <w:pPr/>
            <w:r>
              <w:rPr/>
              <w:t xml:space="preserve">100 ha reforested in partnership with leskhozes in Pamir-Alai</w:t>
            </w:r>
          </w:p>
        </w:tc>
        <w:tc>
          <w:tcPr>
            <w:tcW w:w="2000" w:type="dxa"/>
            <w:gridSpan w:val="1"/>
            <w:noWrap/>
          </w:tcPr>
          <w:p>
            <w:pPr/>
            <w:r>
              <w:rPr/>
              <w:t xml:space="preserve">500 ha reforested in partnership with leskhozes in Pamir-Alai</w:t>
            </w:r>
          </w:p>
        </w:tc>
        <w:tc>
          <w:tcPr>
            <w:tcW w:w="4000" w:type="dxa"/>
            <w:gridSpan w:val="1"/>
            <w:noWrap/>
          </w:tcPr>
          <w:p>
            <w:pPr/>
            <w:r>
              <w:rPr>
                <w:i w:val="1"/>
                <w:iCs w:val="1"/>
              </w:rPr>
              <w:t xml:space="preserve">(not set or not applicable)</w:t>
            </w:r>
          </w:p>
        </w:tc>
        <w:tc>
          <w:tcPr>
            <w:tcW w:w="4000" w:type="dxa"/>
            <w:gridSpan w:val="1"/>
            <w:noWrap/>
          </w:tcPr>
          <w:p>
            <w:pPr/>
            <w:r>
              <w:rPr/>
              <w:t xml:space="preserve">On track - pilot leskhozes engaged, nursery sites identified, design/funding requests underway.</w:t>
            </w:r>
          </w:p>
          <w:p>
            <w:pPr/>
            <w:r>
              <w:rPr/>
              <w:t xml:space="preserve"/>
            </w:r>
          </w:p>
          <w:p>
            <w:pPr/>
            <w:r>
              <w:rPr/>
              <w:t xml:space="preserve">Preparatory work is currently underway.</w:t>
            </w:r>
          </w:p>
          <w:p>
            <w:pPr/>
            <w:r>
              <w:rPr/>
              <w:t xml:space="preserve">In collaboration with the national project partner, the Forest Service, and considering budget constraints, it was recommended that the project focus on providing technical support for forest restoration activities.  In June 2025, the project’s responsible party, CAMP Alatoo PF, conducted working sessions with nine pilot leskhozes (excluding the Ak-Talaa leskhoz) to discuss forest management and restoration issues. Additionally, the Alai and Leilek leskhozes, where new nurseries are planned, agreed to develop design schemes and submit funding requests. Proposed nursery sites in both locations have already been assessed.</w:t>
            </w:r>
          </w:p>
          <w:p>
            <w:pPr/>
            <w:r>
              <w:rPr/>
              <w:t xml:space="preserve">During consultations and meetings, several key challenges were identified that negatively affect forest plantations: Livestock damage forest crops due to uncontrolled grazing, nurseries lack irrigation water, abnormal heat waves, tree planting causes conflicts with pasture users, poor juniper seed quality reduces germination, water sources are depleting, tourist sites face pollution, lessees misuse plots, and most lack mandatory forest management programs.</w:t>
            </w:r>
          </w:p>
          <w:p>
            <w:pPr/>
            <w:r>
              <w:rPr/>
              <w:t xml:space="preserve"/>
            </w:r>
          </w:p>
          <w:p>
            <w:pPr/>
            <w:r>
              <w:rPr/>
              <w:t xml:space="preserve">Annex 36. Minutes from working meetings with project forestry enterprises</w:t>
            </w:r>
          </w:p>
        </w:tc>
      </w:tr>
      <w:tr>
        <w:trPr/>
        <w:tc>
          <w:tcPr>
            <w:tcW w:w="4000" w:type="dxa"/>
            <w:gridSpan w:val="1"/>
            <w:noWrap/>
          </w:tcPr>
          <w:p>
            <w:pPr/>
            <w:r>
              <w:rPr/>
              <w:t xml:space="preserve">9.i. Quality of pasture conditions in at least 3 village districts (National LDN indicator i.)</w:t>
            </w:r>
          </w:p>
        </w:tc>
        <w:tc>
          <w:tcPr>
            <w:tcW w:w="2000" w:type="dxa"/>
            <w:gridSpan w:val="1"/>
            <w:noWrap/>
          </w:tcPr>
          <w:p>
            <w:pPr/>
            <w:r>
              <w:rPr/>
              <w:t xml:space="preserve">N/A (net zero village districts with improved pasture conditions)</w:t>
            </w:r>
          </w:p>
        </w:tc>
        <w:tc>
          <w:tcPr>
            <w:tcW w:w="2000" w:type="dxa"/>
            <w:gridSpan w:val="1"/>
            <w:noWrap/>
          </w:tcPr>
          <w:p>
            <w:pPr/>
            <w:r>
              <w:rPr/>
              <w:t xml:space="preserve">0 (implementation in progress)</w:t>
            </w:r>
          </w:p>
        </w:tc>
        <w:tc>
          <w:tcPr>
            <w:tcW w:w="2000" w:type="dxa"/>
            <w:gridSpan w:val="1"/>
            <w:noWrap/>
          </w:tcPr>
          <w:p>
            <w:pPr/>
            <w:r>
              <w:rPr/>
              <w:t xml:space="preserve">Improved pasture conditions in 3 village districts (through partnership with Pasture Committees in 3 AA)</w:t>
            </w:r>
          </w:p>
        </w:tc>
        <w:tc>
          <w:tcPr>
            <w:tcW w:w="4000" w:type="dxa"/>
            <w:gridSpan w:val="1"/>
            <w:noWrap/>
          </w:tcPr>
          <w:p>
            <w:pPr/>
            <w:r>
              <w:rPr>
                <w:i w:val="1"/>
                <w:iCs w:val="1"/>
              </w:rPr>
              <w:t xml:space="preserve">(not set or not applicable)</w:t>
            </w:r>
          </w:p>
        </w:tc>
        <w:tc>
          <w:tcPr>
            <w:tcW w:w="4000" w:type="dxa"/>
            <w:gridSpan w:val="1"/>
            <w:noWrap/>
          </w:tcPr>
          <w:p>
            <w:pPr/>
            <w:r>
              <w:rPr/>
              <w:t xml:space="preserve">On track</w:t>
            </w:r>
          </w:p>
          <w:p>
            <w:pPr/>
            <w:r>
              <w:rPr/>
              <w:t xml:space="preserve">Pasture Monitoring points (2–3 per AA) were established to assess pasture conditions. Field data collection covered 39 points in Batken region and 23 points in Osh region. A field trip to Naryn region is planned by the end of June 2025 to collect data from 21 points. Collected data is currently under analysis, with baseline land degradation status for 621,905 ha to be finalized by July 2025</w:t>
            </w:r>
          </w:p>
          <w:p>
            <w:pPr/>
            <w:r>
              <w:rPr/>
              <w:t xml:space="preserve"/>
            </w:r>
          </w:p>
          <w:p>
            <w:pPr/>
            <w:r>
              <w:rPr/>
              <w:t xml:space="preserve">Evidence:</w:t>
            </w:r>
          </w:p>
          <w:p>
            <w:pPr/>
            <w:r>
              <w:rPr/>
              <w:t xml:space="preserve">Annex 7_Report on monitoring and assessment of pastures in Chon-Alay_Osh</w:t>
            </w:r>
          </w:p>
          <w:p>
            <w:pPr/>
            <w:r>
              <w:rPr/>
              <w:t xml:space="preserve">Annex 8_Report on monitoring and assessment of pastures in Kara-Kulja_Osh</w:t>
            </w:r>
          </w:p>
          <w:p>
            <w:pPr/>
            <w:r>
              <w:rPr/>
              <w:t xml:space="preserve">Annex 9_Report on monitoring and assessment of pastures in Batken</w:t>
            </w:r>
          </w:p>
          <w:p>
            <w:pPr/>
            <w:r>
              <w:rPr/>
              <w:t xml:space="preserve"/>
            </w:r>
          </w:p>
          <w:p>
            <w:pPr/>
            <w:r>
              <w:rPr/>
              <w:t xml:space="preserve"/>
            </w:r>
          </w:p>
        </w:tc>
      </w:tr>
      <w:tr>
        <w:trPr/>
        <w:tc>
          <w:tcPr>
            <w:tcW w:w="4000" w:type="dxa"/>
            <w:gridSpan w:val="1"/>
            <w:noWrap/>
          </w:tcPr>
          <w:p>
            <w:pPr/>
            <w:r>
              <w:rPr/>
              <w:t xml:space="preserve">9.ii. Quality of access to mountain pastures (National LDN indicator ii.)</w:t>
            </w:r>
          </w:p>
        </w:tc>
        <w:tc>
          <w:tcPr>
            <w:tcW w:w="2000" w:type="dxa"/>
            <w:gridSpan w:val="1"/>
            <w:noWrap/>
          </w:tcPr>
          <w:p>
            <w:pPr/>
            <w:r>
              <w:rPr/>
              <w:t xml:space="preserve">N/A (net zero hectares of pasture with improved access)</w:t>
            </w:r>
          </w:p>
        </w:tc>
        <w:tc>
          <w:tcPr>
            <w:tcW w:w="2000" w:type="dxa"/>
            <w:gridSpan w:val="1"/>
            <w:noWrap/>
          </w:tcPr>
          <w:p>
            <w:pPr/>
            <w:r>
              <w:rPr/>
              <w:t xml:space="preserve">0 (implementation in progress)</w:t>
            </w:r>
          </w:p>
        </w:tc>
        <w:tc>
          <w:tcPr>
            <w:tcW w:w="2000" w:type="dxa"/>
            <w:gridSpan w:val="1"/>
            <w:noWrap/>
          </w:tcPr>
          <w:p>
            <w:pPr/>
            <w:r>
              <w:rPr/>
              <w:t xml:space="preserve">Improved access to 10,000 ha of pastures</w:t>
            </w:r>
          </w:p>
        </w:tc>
        <w:tc>
          <w:tcPr>
            <w:tcW w:w="4000" w:type="dxa"/>
            <w:gridSpan w:val="1"/>
            <w:noWrap/>
          </w:tcPr>
          <w:p>
            <w:pPr/>
            <w:r>
              <w:rPr>
                <w:i w:val="1"/>
                <w:iCs w:val="1"/>
              </w:rPr>
              <w:t xml:space="preserve">(not set or not applicable)</w:t>
            </w:r>
          </w:p>
        </w:tc>
        <w:tc>
          <w:tcPr>
            <w:tcW w:w="4000" w:type="dxa"/>
            <w:gridSpan w:val="1"/>
            <w:noWrap/>
          </w:tcPr>
          <w:p>
            <w:pPr/>
            <w:r>
              <w:rPr/>
              <w:t xml:space="preserve">No results yet, as project activities related to this indicator are scheduled for later.</w:t>
            </w:r>
          </w:p>
        </w:tc>
      </w:tr>
      <w:tr>
        <w:trPr/>
        <w:tc>
          <w:tcPr>
            <w:tcW w:w="4000" w:type="dxa"/>
            <w:gridSpan w:val="1"/>
            <w:noWrap/>
          </w:tcPr>
          <w:p>
            <w:pPr/>
            <w:r>
              <w:rPr/>
              <w:t xml:space="preserve">9.iii. Hectares with SLM adopted (National LDN indicator iii.)</w:t>
            </w:r>
          </w:p>
        </w:tc>
        <w:tc>
          <w:tcPr>
            <w:tcW w:w="2000" w:type="dxa"/>
            <w:gridSpan w:val="1"/>
            <w:noWrap/>
          </w:tcPr>
          <w:p>
            <w:pPr/>
            <w:r>
              <w:rPr/>
              <w:t xml:space="preserve">N/A (net zero hectares of forest and pasture with SLM adopted)</w:t>
            </w:r>
          </w:p>
        </w:tc>
        <w:tc>
          <w:tcPr>
            <w:tcW w:w="2000" w:type="dxa"/>
            <w:gridSpan w:val="1"/>
            <w:noWrap/>
          </w:tcPr>
          <w:p>
            <w:pPr/>
            <w:r>
              <w:rPr/>
              <w:t xml:space="preserve">0 (implementation in progress)</w:t>
            </w:r>
          </w:p>
        </w:tc>
        <w:tc>
          <w:tcPr>
            <w:tcW w:w="2000" w:type="dxa"/>
            <w:gridSpan w:val="1"/>
            <w:noWrap/>
          </w:tcPr>
          <w:p>
            <w:pPr/>
            <w:r>
              <w:rPr/>
              <w:t xml:space="preserve">10,000 ha of forest and pasture with SLM adopted</w:t>
            </w:r>
          </w:p>
        </w:tc>
        <w:tc>
          <w:tcPr>
            <w:tcW w:w="4000" w:type="dxa"/>
            <w:gridSpan w:val="1"/>
            <w:noWrap/>
          </w:tcPr>
          <w:p>
            <w:pPr/>
            <w:r>
              <w:rPr>
                <w:i w:val="1"/>
                <w:iCs w:val="1"/>
              </w:rPr>
              <w:t xml:space="preserve">(not set or not applicable)</w:t>
            </w:r>
          </w:p>
        </w:tc>
        <w:tc>
          <w:tcPr>
            <w:tcW w:w="4000" w:type="dxa"/>
            <w:gridSpan w:val="1"/>
            <w:noWrap/>
          </w:tcPr>
          <w:p>
            <w:pPr/>
            <w:r>
              <w:rPr/>
              <w:t xml:space="preserve">No results yet, as project activities related to this indicator are scheduled for later.</w:t>
            </w:r>
          </w:p>
        </w:tc>
      </w:tr>
      <w:tr>
        <w:trPr/>
        <w:tc>
          <w:tcPr>
            <w:tcW w:w="4000" w:type="dxa"/>
            <w:gridSpan w:val="1"/>
            <w:noWrap/>
          </w:tcPr>
          <w:p>
            <w:pPr/>
            <w:r>
              <w:rPr/>
              <w:t xml:space="preserve">9.iv. Hectares of land with improved conditions (National LDN indicator iv.)</w:t>
            </w:r>
          </w:p>
        </w:tc>
        <w:tc>
          <w:tcPr>
            <w:tcW w:w="2000" w:type="dxa"/>
            <w:gridSpan w:val="1"/>
            <w:noWrap/>
          </w:tcPr>
          <w:p>
            <w:pPr/>
            <w:r>
              <w:rPr/>
              <w:t xml:space="preserve">N/A (net zero hectares of forest and pasture with SLM adopted)</w:t>
            </w:r>
          </w:p>
        </w:tc>
        <w:tc>
          <w:tcPr>
            <w:tcW w:w="2000" w:type="dxa"/>
            <w:gridSpan w:val="1"/>
            <w:noWrap/>
          </w:tcPr>
          <w:p>
            <w:pPr/>
            <w:r>
              <w:rPr/>
              <w:t xml:space="preserve">Sustainable pasture management planning initiated with stakeholders to restore 150,000 ha (25+% of 621,905) of degraded pastureland in and around KBAs including new PAs</w:t>
            </w:r>
          </w:p>
          <w:p>
            <w:pPr/>
            <w:r>
              <w:rPr/>
              <w:t xml:space="preserve"/>
            </w:r>
          </w:p>
          <w:p>
            <w:pPr/>
            <w:r>
              <w:rPr/>
              <w:t xml:space="preserve">(Total of 217,747 ha degraded out of 861,155 ha (25.3%) of pasture in AAs with territory included in new PAs – see 1st pasture expert report, Table 6)</w:t>
            </w:r>
          </w:p>
          <w:p>
            <w:pPr/>
            <w:r>
              <w:rPr/>
              <w:t xml:space="preserve"/>
            </w:r>
          </w:p>
        </w:tc>
        <w:tc>
          <w:tcPr>
            <w:tcW w:w="2000" w:type="dxa"/>
            <w:gridSpan w:val="1"/>
            <w:noWrap/>
          </w:tcPr>
          <w:p>
            <w:pPr/>
            <w:r>
              <w:rPr/>
              <w:t xml:space="preserve">Sustainable pasture management under implementation for 150,000 (25+% of 621,905) ha of pastureland in and around KBAs including new PAs</w:t>
            </w:r>
          </w:p>
        </w:tc>
        <w:tc>
          <w:tcPr>
            <w:tcW w:w="4000" w:type="dxa"/>
            <w:gridSpan w:val="1"/>
            <w:noWrap/>
          </w:tcPr>
          <w:p>
            <w:pPr/>
            <w:r>
              <w:rPr>
                <w:i w:val="1"/>
                <w:iCs w:val="1"/>
              </w:rPr>
              <w:t xml:space="preserve">(not set or not applicable)</w:t>
            </w:r>
          </w:p>
        </w:tc>
        <w:tc>
          <w:tcPr>
            <w:tcW w:w="4000" w:type="dxa"/>
            <w:gridSpan w:val="1"/>
            <w:noWrap/>
          </w:tcPr>
          <w:p>
            <w:pPr/>
            <w:r>
              <w:rPr/>
              <w:t xml:space="preserve">On track</w:t>
            </w:r>
          </w:p>
          <w:p>
            <w:pPr/>
            <w:r>
              <w:rPr/>
              <w:t xml:space="preserve">Electronic Pasture Management System: A technical assessment of the electronic Jaiyt Committee system was conducted to prepare Terms of Reference (ToR) for its update and improvement. Consultations with the Department of Pastures and Livestock under the Ministry of Agriculture refined system requirements to align with practical needs. A ToR was developed, a tender was conducted, and a consultancy was selected to create a detailed ToR for system enhancements, incorporating gender considerations. The consultancy is currently being supported in finalizing the ToR.</w:t>
            </w:r>
          </w:p>
          <w:p>
            <w:pPr/>
            <w:r>
              <w:rPr/>
              <w:t xml:space="preserve"/>
            </w:r>
          </w:p>
          <w:p>
            <w:pPr/>
            <w:r>
              <w:rPr/>
              <w:t xml:space="preserve">Evidence:</w:t>
            </w:r>
          </w:p>
          <w:p>
            <w:pPr/>
            <w:r>
              <w:rPr/>
              <w:t xml:space="preserve">Annex 12. ToR for development of technical TOR for EJK</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2</w:t>
            </w:r>
          </w:p>
          <w:p>
            <w:pPr/>
            <w:r>
              <w:rPr>
                <w:b w:val="1"/>
                <w:bCs w:val="1"/>
              </w:rPr>
              <w:t xml:space="preserve">Outcome 2: Sustainability of critical Pamir-Alai mountain ecosystems secured</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2024</w:t>
            </w:r>
          </w:p>
        </w:tc>
        <w:tc>
          <w:tcPr>
            <w:tcW w:w="4000" w:type="dxa"/>
            <w:gridSpan w:val="1"/>
            <w:noWrap/>
          </w:tcPr>
          <w:p>
            <w:pPr/>
            <w:r>
              <w:rPr>
                <w:b w:val="1"/>
                <w:bCs w:val="1"/>
              </w:rPr>
              <w:t xml:space="preserve">Cumulative progress since project start as of Jun 30, 2025</w:t>
            </w:r>
          </w:p>
        </w:tc>
      </w:tr>
      <w:tr>
        <w:trPr/>
        <w:tc>
          <w:tcPr>
            <w:tcW w:w="4000" w:type="dxa"/>
            <w:gridSpan w:val="1"/>
            <w:noWrap/>
          </w:tcPr>
          <w:p>
            <w:pPr/>
            <w:r>
              <w:rPr/>
              <w:t xml:space="preserve">10. Area of newly created terrestrial protected areas in Pamir-Alai mountain ecosystems (GEF-7 Core Sub-indicator 1.1)</w:t>
            </w:r>
          </w:p>
        </w:tc>
        <w:tc>
          <w:tcPr>
            <w:tcW w:w="2000" w:type="dxa"/>
            <w:gridSpan w:val="1"/>
            <w:noWrap/>
          </w:tcPr>
          <w:p>
            <w:pPr/>
            <w:r>
              <w:rPr/>
              <w:t xml:space="preserve">N/A (net zero hectares of newly established protected areas)</w:t>
            </w:r>
          </w:p>
        </w:tc>
        <w:tc>
          <w:tcPr>
            <w:tcW w:w="2000" w:type="dxa"/>
            <w:gridSpan w:val="1"/>
            <w:noWrap/>
          </w:tcPr>
          <w:p>
            <w:pPr/>
            <w:r>
              <w:rPr/>
              <w:t xml:space="preserve">0 (implementation in progress)</w:t>
            </w:r>
          </w:p>
        </w:tc>
        <w:tc>
          <w:tcPr>
            <w:tcW w:w="2000" w:type="dxa"/>
            <w:gridSpan w:val="1"/>
            <w:noWrap/>
          </w:tcPr>
          <w:p>
            <w:pPr/>
            <w:r>
              <w:rPr/>
              <w:t xml:space="preserve">4 newly established protected areas covering 281,083.79 ha of Pamir-Alai mountain ecosystems</w:t>
            </w:r>
          </w:p>
          <w:p>
            <w:pPr/>
            <w:r>
              <w:rPr/>
              <w:t xml:space="preserve">1.	“Chon-Alai” State Natiure Park Park (IUCN II); 66,830.79 ha</w:t>
            </w:r>
          </w:p>
          <w:p>
            <w:pPr/>
            <w:r>
              <w:rPr/>
              <w:t xml:space="preserve">2.	“Arka” Zoological Reserve (zakaznik) (IUCN IV); 50,000 ha</w:t>
            </w:r>
          </w:p>
          <w:p>
            <w:pPr/>
            <w:r>
              <w:rPr/>
              <w:t xml:space="preserve">3.	“Arpa” State Nature Park (IUCN II); 164,000 ha</w:t>
            </w:r>
          </w:p>
          <w:p>
            <w:pPr/>
            <w:r>
              <w:rPr/>
              <w:t xml:space="preserve">4.	“Aigul-Tash” Botanical Reserve (zakaznik) complex (IUCN IV), 253 ha</w:t>
            </w:r>
          </w:p>
          <w:p>
            <w:pPr/>
            <w:r>
              <w:rPr/>
              <w:t xml:space="preserve"/>
            </w:r>
          </w:p>
        </w:tc>
        <w:tc>
          <w:tcPr>
            <w:tcW w:w="4000" w:type="dxa"/>
            <w:gridSpan w:val="1"/>
            <w:noWrap/>
          </w:tcPr>
          <w:p>
            <w:pPr/>
            <w:r>
              <w:rPr>
                <w:i w:val="1"/>
                <w:iCs w:val="1"/>
              </w:rPr>
              <w:t xml:space="preserve">(not set or not applicable)</w:t>
            </w:r>
          </w:p>
        </w:tc>
        <w:tc>
          <w:tcPr>
            <w:tcW w:w="4000" w:type="dxa"/>
            <w:gridSpan w:val="1"/>
            <w:noWrap/>
          </w:tcPr>
          <w:p>
            <w:pPr/>
            <w:r>
              <w:rPr/>
              <w:t xml:space="preserve">On track. A working arrangements/roadmap advanced; four proposed PAs totaling ~281,083.79 ha identified; working groups and legal prep underway</w:t>
            </w:r>
          </w:p>
          <w:p>
            <w:pPr/>
            <w:r>
              <w:rPr/>
              <w:t xml:space="preserve"/>
            </w:r>
          </w:p>
          <w:p>
            <w:pPr/>
            <w:r>
              <w:rPr/>
              <w:t xml:space="preserve">To establish four PAs in the Pamir-Alai region (Chon-Alai, Arka, Arpa, and Aigul-Tash protected areas) work is ongoing in close collaboration with the Ministry of Natural Resources, Ecology and Technical Supervision of the Kyrgyz Republic (MNRETS KR).</w:t>
            </w:r>
          </w:p>
          <w:p>
            <w:pPr/>
            <w:r>
              <w:rPr/>
              <w:t xml:space="preserve">Two local consultants have been engaged: a national consultant for legal support for PA establishment and a national consultant on mapping of delineating PA boundaries. An analysis of national legislation was conducted to ensure compliance with the PA creation process. Based on this analysis, a work plan was developed, outlining the steps required for PA establishment. Relevant materials from MNRETS KR were reviewed, and discussions were held with MNRETS KR leadership, the Institute of Biology of the National Academy of Sciences of KR, and project experts.</w:t>
            </w:r>
          </w:p>
          <w:p>
            <w:pPr/>
            <w:r>
              <w:rPr/>
              <w:t xml:space="preserve">In accordance with Clause 11 of the “Procedure for the Establishment, Change of Categories, Approval of Boundaries, and Liquidation of Protected Areas in the Kyrgyz Republic,” approved by Government Decree No. 541 dated July 30, 2015, MNRETS KR issued Order No. 01-01/194 on July 9, 2025, forming a working group to develop ecological, scientific, and economic justifications for the establishment of the Chon-Alai, Arka, Arpa, and Aigul-Tash PAs.</w:t>
            </w:r>
          </w:p>
          <w:p>
            <w:pPr/>
            <w:r>
              <w:rPr/>
              <w:t xml:space="preserve">The working group’s first meeting was attended by 12 group members (5 online) and 6 invited specialists, totaling 18 participants. A presentation was delivered, and a draft work plan for the group was prepared. Following revisions, the plan was endorsed by A.A. Kenzhebaev, Director of the Department of Protected Areas, and approved by MNRETS KR Deputy Minister M.A. Amankulov.</w:t>
            </w:r>
          </w:p>
          <w:p>
            <w:pPr/>
            <w:r>
              <w:rPr/>
              <w:t xml:space="preserve">Preparations are underway for field studies involving specialists (zoologist, entomologist, botanist, and other working group members). Next steps include mapping PA boundaries, conducting consultations, engaging with local communities, and preparing legal documentation.</w:t>
            </w:r>
          </w:p>
          <w:p>
            <w:pPr/>
            <w:r>
              <w:rPr/>
              <w:t xml:space="preserve"/>
            </w:r>
          </w:p>
          <w:p>
            <w:pPr/>
            <w:r>
              <w:rPr/>
              <w:t xml:space="preserve">Evidence:</w:t>
            </w:r>
          </w:p>
          <w:p>
            <w:pPr/>
            <w:r>
              <w:rPr/>
              <w:t xml:space="preserve">Annex 14. Legal review report</w:t>
            </w:r>
          </w:p>
          <w:p>
            <w:pPr/>
            <w:r>
              <w:rPr/>
              <w:t xml:space="preserve">Annex 15. NEW PA establishment-Plan of Working Group-Rus</w:t>
            </w:r>
          </w:p>
          <w:p>
            <w:pPr/>
            <w:r>
              <w:rPr/>
              <w:t xml:space="preserve">Annex 16. MNRETS Order_Working Group Creation-for NEW PAs_RUS-Kyr</w:t>
            </w:r>
          </w:p>
          <w:p>
            <w:pPr/>
            <w:r>
              <w:rPr/>
              <w:t xml:space="preserve">Annex 17. New PA establishment Working Group-Meeting Minutes_14 July2025</w:t>
            </w:r>
          </w:p>
          <w:p>
            <w:pPr/>
            <w:r>
              <w:rPr/>
              <w:t xml:space="preserve">Annex 18. Presentation for the 1st Meeting of the NEW PA WorkingGroup-Rus</w:t>
            </w:r>
          </w:p>
          <w:p>
            <w:pPr/>
            <w:r>
              <w:rPr/>
              <w:t xml:space="preserve"/>
            </w:r>
          </w:p>
        </w:tc>
      </w:tr>
      <w:tr>
        <w:trPr/>
        <w:tc>
          <w:tcPr>
            <w:tcW w:w="4000" w:type="dxa"/>
            <w:gridSpan w:val="1"/>
            <w:noWrap/>
          </w:tcPr>
          <w:p>
            <w:pPr/>
            <w:r>
              <w:rPr/>
              <w:t xml:space="preserve">11. Terrestrial protected areas covering important Pamir-Alai mountain ecosystems under improved management effectiveness (degradation avoided) (GEF-7 Core Sub-indicator 1.2)</w:t>
            </w:r>
          </w:p>
        </w:tc>
        <w:tc>
          <w:tcPr>
            <w:tcW w:w="2000" w:type="dxa"/>
            <w:gridSpan w:val="1"/>
            <w:noWrap/>
          </w:tcPr>
          <w:p>
            <w:pPr/>
            <w:r>
              <w:rPr/>
              <w:t xml:space="preserve">5 national level PAs covering 153,250 ha. Baseline METT score:</w:t>
            </w:r>
          </w:p>
          <w:p>
            <w:pPr/>
            <w:r>
              <w:rPr/>
              <w:t xml:space="preserve">1.	Surma-Tash State Nature Reserve: 39</w:t>
            </w:r>
          </w:p>
          <w:p>
            <w:pPr/>
            <w:r>
              <w:rPr/>
              <w:t xml:space="preserve">2.	“Sarkent” State Nature Park: 40</w:t>
            </w:r>
          </w:p>
          <w:p>
            <w:pPr/>
            <w:r>
              <w:rPr/>
              <w:t xml:space="preserve">3.	Kulun-Ata State Nature Reserve: 40</w:t>
            </w:r>
          </w:p>
          <w:p>
            <w:pPr/>
            <w:r>
              <w:rPr/>
              <w:t xml:space="preserve">4.	“Kyrgyz-Ata” State Nature Park: 44</w:t>
            </w:r>
          </w:p>
          <w:p>
            <w:pPr/>
            <w:r>
              <w:rPr/>
              <w:t xml:space="preserve">5.	“Kara-Shoro” State Nature Park: 40</w:t>
            </w:r>
          </w:p>
          <w:p>
            <w:pPr/>
            <w:r>
              <w:rPr/>
              <w:t xml:space="preserve"/>
            </w:r>
          </w:p>
        </w:tc>
        <w:tc>
          <w:tcPr>
            <w:tcW w:w="2000" w:type="dxa"/>
            <w:gridSpan w:val="1"/>
            <w:noWrap/>
          </w:tcPr>
          <w:p>
            <w:pPr/>
            <w:r>
              <w:rPr/>
              <w:t xml:space="preserve">5 national level PAs covering 153,250 ha. Mid-term METT score:</w:t>
            </w:r>
          </w:p>
          <w:p>
            <w:pPr/>
            <w:r>
              <w:rPr/>
              <w:t xml:space="preserve"/>
            </w:r>
          </w:p>
          <w:p>
            <w:pPr/>
            <w:r>
              <w:rPr/>
              <w:t xml:space="preserve">1.	Surma-Tash State Nature Reserve: 44</w:t>
            </w:r>
          </w:p>
          <w:p>
            <w:pPr/>
            <w:r>
              <w:rPr/>
              <w:t xml:space="preserve">2.	“Sarkent” State Nature Park: 45</w:t>
            </w:r>
          </w:p>
          <w:p>
            <w:pPr/>
            <w:r>
              <w:rPr/>
              <w:t xml:space="preserve">3.	Kulun-Ata State Nature Reserve: 45</w:t>
            </w:r>
          </w:p>
          <w:p>
            <w:pPr/>
            <w:r>
              <w:rPr/>
              <w:t xml:space="preserve">4.	“Kyrgyz-Ata” State Nature Park: 49</w:t>
            </w:r>
          </w:p>
          <w:p>
            <w:pPr/>
            <w:r>
              <w:rPr/>
              <w:t xml:space="preserve">5.	“Kara-Shoro” State Nature Park: 45</w:t>
            </w:r>
          </w:p>
          <w:p>
            <w:pPr/>
            <w:r>
              <w:rPr/>
              <w:t xml:space="preserve"/>
            </w:r>
          </w:p>
          <w:p>
            <w:pPr/>
            <w:r>
              <w:rPr/>
              <w:t xml:space="preserve">(Based on the project workplan, the project will have made relatively little progress in improving PA capacity by the mid-term)</w:t>
            </w:r>
          </w:p>
          <w:p>
            <w:pPr/>
            <w:r>
              <w:rPr/>
              <w:t xml:space="preserve"/>
            </w:r>
          </w:p>
        </w:tc>
        <w:tc>
          <w:tcPr>
            <w:tcW w:w="2000" w:type="dxa"/>
            <w:gridSpan w:val="1"/>
            <w:noWrap/>
          </w:tcPr>
          <w:p>
            <w:pPr/>
            <w:r>
              <w:rPr/>
              <w:t xml:space="preserve">5 national level PAs covering 153,250 ha. End-of-project METT score:</w:t>
            </w:r>
          </w:p>
          <w:p>
            <w:pPr/>
            <w:r>
              <w:rPr/>
              <w:t xml:space="preserve">1.	Surma-Tash State Nature Reserve: 56</w:t>
            </w:r>
          </w:p>
          <w:p>
            <w:pPr/>
            <w:r>
              <w:rPr/>
              <w:t xml:space="preserve">2.	“Sarkent” State Nature Park: 57</w:t>
            </w:r>
          </w:p>
          <w:p>
            <w:pPr/>
            <w:r>
              <w:rPr/>
              <w:t xml:space="preserve">3.	Kulun-Ata State Nature Reserve: 57</w:t>
            </w:r>
          </w:p>
          <w:p>
            <w:pPr/>
            <w:r>
              <w:rPr/>
              <w:t xml:space="preserve">4.	“Kyrgyz-Ata” State Nature Park: 61</w:t>
            </w:r>
          </w:p>
          <w:p>
            <w:pPr/>
            <w:r>
              <w:rPr/>
              <w:t xml:space="preserve">5.	“Kara-Shoro” State Nature Park: 57</w:t>
            </w:r>
          </w:p>
          <w:p>
            <w:pPr/>
            <w:r>
              <w:rPr/>
              <w:t xml:space="preserve"/>
            </w:r>
          </w:p>
        </w:tc>
        <w:tc>
          <w:tcPr>
            <w:tcW w:w="4000" w:type="dxa"/>
            <w:gridSpan w:val="1"/>
            <w:noWrap/>
          </w:tcPr>
          <w:p>
            <w:pPr/>
            <w:r>
              <w:rPr>
                <w:i w:val="1"/>
                <w:iCs w:val="1"/>
              </w:rPr>
              <w:t xml:space="preserve">(not set or not applicable)</w:t>
            </w:r>
          </w:p>
        </w:tc>
        <w:tc>
          <w:tcPr>
            <w:tcW w:w="4000" w:type="dxa"/>
            <w:gridSpan w:val="1"/>
            <w:noWrap/>
          </w:tcPr>
          <w:p>
            <w:pPr/>
            <w:r>
              <w:rPr/>
              <w:t xml:space="preserve">On track No METT score change reported in PIR (foundation year; capacity actions sequenced later)</w:t>
            </w:r>
          </w:p>
          <w:p>
            <w:pPr/>
            <w:r>
              <w:rPr/>
              <w:t xml:space="preserve"/>
            </w:r>
          </w:p>
          <w:p>
            <w:pPr/>
            <w:r>
              <w:rPr/>
              <w:t xml:space="preserve">To enhance the management effectiveness of terrestrial protected areas covering key Pamir-Alai mountain ecosystems and avoid degradation, progress is being made in collaboration with the MNRETS KR. A field consultant has been contracted to facilitate on-ground mobilization, engaging with protected areas and local communities to support effective management.</w:t>
            </w:r>
          </w:p>
          <w:p>
            <w:pPr/>
            <w:r>
              <w:rPr/>
              <w:t xml:space="preserve">To streamline the procurement process, multiple local consultant roles were consolidated into a single RFP for a consultative company service. The TOR were developed jointly with MNRETS KR, and the tender has been launched and is currently under review. Additionally, the procurement of two vehicles, funded through UNDP co-financing contributions for the project, is in progress to support field operations.</w:t>
            </w:r>
          </w:p>
          <w:p>
            <w:pPr/>
            <w:r>
              <w:rPr/>
              <w:t xml:space="preserve">To support the introduction of the SMART (Spatial Monitoring and Reporting Tool) system across five existing PAs and enhance biodiversity monitoring efforts, the project procured and delivered 47 smartphones to PA staff. These devices will enable more efficient and standardized data collection on key biodiversity indicators, human-wildlife interactions, and patrolling activities, contributing to improved conservation management and reporting.</w:t>
            </w:r>
          </w:p>
          <w:p>
            <w:pPr/>
            <w:r>
              <w:rPr/>
              <w:t xml:space="preserve"/>
            </w:r>
          </w:p>
          <w:p>
            <w:pPr/>
            <w:r>
              <w:rPr/>
              <w:t xml:space="preserve">Evidence:</w:t>
            </w:r>
          </w:p>
          <w:p>
            <w:pPr/>
            <w:r>
              <w:rPr/>
              <w:t xml:space="preserve">Annex 19. ToR_5 PAs ManagementPlans-SMART</w:t>
            </w:r>
          </w:p>
          <w:p>
            <w:pPr/>
            <w:r>
              <w:rPr/>
              <w:t xml:space="preserve">https://procurement-notices.undp.org/view_negotiation.cfm?nego_id=32531T</w:t>
            </w:r>
          </w:p>
          <w:p>
            <w:pPr/>
            <w:r>
              <w:rPr/>
              <w:t xml:space="preserve"/>
            </w:r>
          </w:p>
          <w:p>
            <w:pPr/>
            <w:r>
              <w:rPr/>
              <w:t xml:space="preserve"/>
            </w:r>
          </w:p>
        </w:tc>
      </w:tr>
      <w:tr>
        <w:trPr/>
        <w:tc>
          <w:tcPr>
            <w:tcW w:w="4000" w:type="dxa"/>
            <w:gridSpan w:val="1"/>
            <w:noWrap/>
          </w:tcPr>
          <w:p>
            <w:pPr/>
            <w:r>
              <w:rPr/>
              <w:t xml:space="preserve">12. Incremental number of beneficiaries collecting household income from nature-based tourism activities</w:t>
            </w:r>
          </w:p>
        </w:tc>
        <w:tc>
          <w:tcPr>
            <w:tcW w:w="2000" w:type="dxa"/>
            <w:gridSpan w:val="1"/>
            <w:noWrap/>
          </w:tcPr>
          <w:p>
            <w:pPr/>
            <w:r>
              <w:rPr/>
              <w:t xml:space="preserve">0 (no increment)</w:t>
            </w:r>
          </w:p>
        </w:tc>
        <w:tc>
          <w:tcPr>
            <w:tcW w:w="2000" w:type="dxa"/>
            <w:gridSpan w:val="1"/>
            <w:noWrap/>
          </w:tcPr>
          <w:p>
            <w:pPr/>
            <w:r>
              <w:rPr/>
              <w:t xml:space="preserve">0 (no increment yet, under implementation)</w:t>
            </w:r>
          </w:p>
        </w:tc>
        <w:tc>
          <w:tcPr>
            <w:tcW w:w="2000" w:type="dxa"/>
            <w:gridSpan w:val="1"/>
            <w:noWrap/>
          </w:tcPr>
          <w:p>
            <w:pPr/>
            <w:r>
              <w:rPr/>
              <w:t xml:space="preserve">20 (~4 households)</w:t>
            </w:r>
          </w:p>
          <w:p>
            <w:pPr/>
            <w:r>
              <w:rPr/>
              <w:t xml:space="preserve"/>
            </w:r>
          </w:p>
          <w:p>
            <w:pPr/>
            <w:r>
              <w:rPr/>
              <w:t xml:space="preserve">(disaggregated by gender)</w:t>
            </w:r>
          </w:p>
          <w:p>
            <w:pPr/>
            <w:r>
              <w:rPr/>
              <w:t xml:space="preserve"/>
            </w:r>
          </w:p>
        </w:tc>
        <w:tc>
          <w:tcPr>
            <w:tcW w:w="4000" w:type="dxa"/>
            <w:gridSpan w:val="1"/>
            <w:noWrap/>
          </w:tcPr>
          <w:p>
            <w:pPr/>
            <w:r>
              <w:rPr>
                <w:i w:val="1"/>
                <w:iCs w:val="1"/>
              </w:rPr>
              <w:t xml:space="preserve">(not set or not applicable)</w:t>
            </w:r>
          </w:p>
        </w:tc>
        <w:tc>
          <w:tcPr>
            <w:tcW w:w="4000" w:type="dxa"/>
            <w:gridSpan w:val="1"/>
            <w:noWrap/>
          </w:tcPr>
          <w:p>
            <w:pPr/>
            <w:r>
              <w:rPr/>
              <w:t xml:space="preserve">On track (no increment yet) — baseline survey planned;</w:t>
            </w:r>
          </w:p>
          <w:p>
            <w:pPr/>
            <w:r>
              <w:rPr/>
              <w:t xml:space="preserve"/>
            </w:r>
          </w:p>
          <w:p>
            <w:pPr/>
            <w:r>
              <w:rPr/>
              <w:t xml:space="preserve">A desk study was conducted to draft a methodology and questionnaire for a baseline study aimed at identifying existing and potential ecotourism initiatives around the planned PAs. This study incorporates ecological, touristic, and historical-cultural values. in addition, consultations were held with the Department of Historical and Cultural Heritage under the Ministry of Culture, Information, Sports, and Youth Policy, and the Biodiversity Department of the MNRETS KR. These meetings aimed to identify relevant stakeholders and define methodological needs for assessing two key values: (1) ecological-touristic (MNRETS) and (2) historical-cultural (Ministry of Culture).</w:t>
            </w:r>
          </w:p>
          <w:p>
            <w:pPr/>
            <w:r>
              <w:rPr/>
              <w:t xml:space="preserve"/>
            </w:r>
          </w:p>
          <w:p>
            <w:pPr/>
            <w:r>
              <w:rPr/>
              <w:t xml:space="preserve">In May 2025, a baseline study on existing and potential ecotourism initiatives was conducted in Osh and Batken oblasts, while survey in Naryn is ongoing. Data were collected from Administrative Organizations (AOs), public conservancies, Forest Management Units (FMUs), and local communities. A similar field visit is scheduled for July 2025 in Naryn oblast.</w:t>
            </w:r>
          </w:p>
          <w:p>
            <w:pPr/>
            <w:r>
              <w:rPr/>
              <w:t xml:space="preserve"/>
            </w:r>
          </w:p>
          <w:p>
            <w:pPr/>
            <w:r>
              <w:rPr/>
              <w:t xml:space="preserve">The study engaged more than 170 representatives of local communities, through focus groups and semi-structured interviews conducted in pilot villages Kashka-Suu, Daroott-Korgon, Ken-Talaa, Karamyk, and Sary-Mogol. It revealed high ecotourism potential based on natural attractions like Abramov Glacier and Kosh-Kol Lake, and cultural sites such as the Kuldattka fortress. Existing tourism-related activities include trout farming and horse trekking.</w:t>
            </w:r>
          </w:p>
          <w:p>
            <w:pPr/>
            <w:r>
              <w:rPr/>
              <w:t xml:space="preserve"/>
            </w:r>
          </w:p>
          <w:p>
            <w:pPr/>
            <w:r>
              <w:rPr/>
              <w:t xml:space="preserve">Women actively contribute to tourism through handicrafts, hospitality, and food services. However, they face challenges related to limited awareness, inadequate infrastructure, and restricted market access. The study also highlighted significant gaps in tourism infrastructure, including the absence of formal accommodations, sanitation facilities, and digital promotion.</w:t>
            </w:r>
          </w:p>
          <w:p>
            <w:pPr/>
            <w:r>
              <w:rPr/>
              <w:t xml:space="preserve"/>
            </w:r>
          </w:p>
          <w:p>
            <w:pPr/>
            <w:r>
              <w:rPr/>
              <w:t xml:space="preserve">Opportunities for growth include the development of yurt camps, eco-trails, and photo-hunting tourism, with an emphasis on women's empowerment through training and cooperative models. Challenges such as pasture degradation, transboundary overgrazing, and limited awareness of tourism potential were also noted. While local communities expressed strong support for PA establishment and expansion, they emphasized the need to balance conservation with traditional land uses.</w:t>
            </w:r>
          </w:p>
          <w:p>
            <w:pPr/>
            <w:r>
              <w:rPr/>
              <w:t xml:space="preserve">Evidence:</w:t>
            </w:r>
          </w:p>
          <w:p>
            <w:pPr/>
            <w:r>
              <w:rPr/>
              <w:t xml:space="preserve">Annex 20_Baseline review&amp;methodology</w:t>
            </w:r>
          </w:p>
          <w:p>
            <w:pPr/>
            <w:r>
              <w:rPr/>
              <w:t xml:space="preserve">Annex 21_Questionnaires</w:t>
            </w:r>
          </w:p>
          <w:p>
            <w:pPr/>
            <w:r>
              <w:rPr/>
              <w:t xml:space="preserve">Annex 23_Alay rayon visit report</w:t>
            </w:r>
          </w:p>
          <w:p>
            <w:pPr/>
            <w:r>
              <w:rPr/>
              <w:t xml:space="preserve">Annex 24_Baseline trip short report_Batken_Osh</w:t>
            </w:r>
          </w:p>
        </w:tc>
      </w:tr>
      <w:tr>
        <w:trPr/>
        <w:tc>
          <w:tcPr>
            <w:tcW w:w="4000" w:type="dxa"/>
            <w:gridSpan w:val="1"/>
            <w:noWrap/>
          </w:tcPr>
          <w:p>
            <w:pPr/>
            <w:r>
              <w:rPr/>
              <w:t xml:space="preserve">13. Incremental revenue to Pamir-Alai PAs from nature-based tourism</w:t>
            </w:r>
          </w:p>
        </w:tc>
        <w:tc>
          <w:tcPr>
            <w:tcW w:w="2000" w:type="dxa"/>
            <w:gridSpan w:val="1"/>
            <w:noWrap/>
          </w:tcPr>
          <w:p>
            <w:pPr/>
            <w:r>
              <w:rPr/>
              <w:t xml:space="preserve">0 (no increment)</w:t>
            </w:r>
          </w:p>
        </w:tc>
        <w:tc>
          <w:tcPr>
            <w:tcW w:w="2000" w:type="dxa"/>
            <w:gridSpan w:val="1"/>
            <w:noWrap/>
          </w:tcPr>
          <w:p>
            <w:pPr/>
            <w:r>
              <w:rPr/>
              <w:t xml:space="preserve">0 (no increment yet, under implementation)</w:t>
            </w:r>
          </w:p>
        </w:tc>
        <w:tc>
          <w:tcPr>
            <w:tcW w:w="2000" w:type="dxa"/>
            <w:gridSpan w:val="1"/>
            <w:noWrap/>
          </w:tcPr>
          <w:p>
            <w:pPr/>
            <w:r>
              <w:rPr/>
              <w:t xml:space="preserve">&gt; baseline</w:t>
            </w:r>
          </w:p>
        </w:tc>
        <w:tc>
          <w:tcPr>
            <w:tcW w:w="4000" w:type="dxa"/>
            <w:gridSpan w:val="1"/>
            <w:noWrap/>
          </w:tcPr>
          <w:p>
            <w:pPr/>
            <w:r>
              <w:rPr>
                <w:i w:val="1"/>
                <w:iCs w:val="1"/>
              </w:rPr>
              <w:t xml:space="preserve">(not set or not applicable)</w:t>
            </w:r>
          </w:p>
        </w:tc>
        <w:tc>
          <w:tcPr>
            <w:tcW w:w="4000" w:type="dxa"/>
            <w:gridSpan w:val="1"/>
            <w:noWrap/>
          </w:tcPr>
          <w:p>
            <w:pPr/>
            <w:r>
              <w:rPr/>
              <w:t xml:space="preserve">The activities are scheduled later, no results yet. The preparatory work are aiming at enabling PA revenue mechanisms and  rolling out visitor products post-designation</w:t>
            </w:r>
          </w:p>
        </w:tc>
      </w:tr>
      <w:tr>
        <w:trPr/>
        <w:tc>
          <w:tcPr>
            <w:tcW w:w="4000" w:type="dxa"/>
            <w:gridSpan w:val="1"/>
            <w:noWrap/>
          </w:tcPr>
          <w:p>
            <w:pPr/>
            <w:r>
              <w:rPr/>
              <w:t xml:space="preserve">14. Level of awareness and understanding about biodiversity values among communities in Alai valley</w:t>
            </w:r>
          </w:p>
        </w:tc>
        <w:tc>
          <w:tcPr>
            <w:tcW w:w="2000" w:type="dxa"/>
            <w:gridSpan w:val="1"/>
            <w:noWrap/>
          </w:tcPr>
          <w:p>
            <w:pPr/>
            <w:r>
              <w:rPr/>
              <w:t xml:space="preserve">N/A (baseline awareness survey to be completed during 1st year of project)</w:t>
            </w:r>
          </w:p>
        </w:tc>
        <w:tc>
          <w:tcPr>
            <w:tcW w:w="2000" w:type="dxa"/>
            <w:gridSpan w:val="1"/>
            <w:noWrap/>
          </w:tcPr>
          <w:p>
            <w:pPr/>
            <w:r>
              <w:rPr/>
              <w:t xml:space="preserve">10% increase in awareness (based on baseline survey methodology)</w:t>
            </w:r>
          </w:p>
        </w:tc>
        <w:tc>
          <w:tcPr>
            <w:tcW w:w="2000" w:type="dxa"/>
            <w:gridSpan w:val="1"/>
            <w:noWrap/>
          </w:tcPr>
          <w:p>
            <w:pPr/>
            <w:r>
              <w:rPr/>
              <w:t xml:space="preserve">25% increase in awareness (based on</w:t>
            </w:r>
          </w:p>
          <w:p>
            <w:pPr/>
            <w:r>
              <w:rPr/>
              <w:t xml:space="preserve">survey)</w:t>
            </w:r>
          </w:p>
          <w:p>
            <w:pPr/>
            <w:r>
              <w:rPr/>
              <w:t xml:space="preserve"/>
            </w:r>
          </w:p>
        </w:tc>
        <w:tc>
          <w:tcPr>
            <w:tcW w:w="4000" w:type="dxa"/>
            <w:gridSpan w:val="1"/>
            <w:noWrap/>
          </w:tcPr>
          <w:p>
            <w:pPr/>
            <w:r>
              <w:rPr>
                <w:i w:val="1"/>
                <w:iCs w:val="1"/>
              </w:rPr>
              <w:t xml:space="preserve">(not set or not applicable)</w:t>
            </w:r>
          </w:p>
        </w:tc>
        <w:tc>
          <w:tcPr>
            <w:tcW w:w="4000" w:type="dxa"/>
            <w:gridSpan w:val="1"/>
            <w:noWrap/>
          </w:tcPr>
          <w:p>
            <w:pPr/>
            <w:r>
              <w:rPr/>
              <w:t xml:space="preserve">On track.  The project will establish  awareness baseline and set up mid/EoP follow-ups</w:t>
            </w:r>
          </w:p>
          <w:p>
            <w:pPr/>
            <w:r>
              <w:rPr/>
              <w:t xml:space="preserve"/>
            </w:r>
          </w:p>
          <w:p>
            <w:pPr/>
            <w:r>
              <w:rPr/>
              <w:t xml:space="preserve">The initiative to assess the level of awareness and understanding of biodiversity values among communities in the Alai valley is on track. RP SLT is conducting socio-economic surveys that incorporate questions designed to gauge local communities’ perceptions and knowledge of biodiversity values. Two survey tools—household questionnaires and key informant interviews—have been developed to collect comprehensive data. These tools focus on livelihoods, human-wildlife interactions, social networks, land use, climate risks and awareness of proposed protected areas.</w:t>
            </w:r>
          </w:p>
          <w:p>
            <w:pPr/>
            <w:r>
              <w:rPr/>
              <w:t xml:space="preserve">The surveys target 355 households (a 10% sample per village) across 9 villages near proposed protected areas in the Osh, Batken, and Naryn regions, ensuring balanced gender representation. The data collected will inform targeted strategies for sustainable resource management and conservation efforts.</w:t>
            </w:r>
          </w:p>
          <w:p>
            <w:pPr/>
            <w:r>
              <w:rPr/>
              <w:t xml:space="preserve">Currently, recruitment of survey enumerators is ongoing, with training on survey protocols and data protection planned. Translation services and tablet procurement for efficient data collection are also in progress.</w:t>
            </w:r>
          </w:p>
          <w:p>
            <w:pPr/>
            <w:r>
              <w:rPr/>
              <w:t xml:space="preserve">Evidence:</w:t>
            </w:r>
          </w:p>
          <w:p>
            <w:pPr/>
            <w:r>
              <w:rPr/>
              <w:t xml:space="preserve">Annex 25. Survery tools</w:t>
            </w:r>
          </w:p>
        </w:tc>
      </w:tr>
      <w:tr>
        <w:trPr/>
        <w:tc>
          <w:tcPr>
            <w:tcW w:w="4000" w:type="dxa"/>
            <w:gridSpan w:val="1"/>
            <w:noWrap/>
          </w:tcPr>
          <w:p>
            <w:pPr/>
            <w:r>
              <w:rPr/>
              <w:t xml:space="preserve">15. Number of community conservancies earning revenue from nature-based tourism Pamir-Alai landscape to support wildlife conservation and tourism development</w:t>
            </w:r>
          </w:p>
        </w:tc>
        <w:tc>
          <w:tcPr>
            <w:tcW w:w="2000" w:type="dxa"/>
            <w:gridSpan w:val="1"/>
            <w:noWrap/>
          </w:tcPr>
          <w:p>
            <w:pPr/>
            <w:r>
              <w:rPr/>
              <w:t xml:space="preserve">0 (existing Bek tosot and Janaidar conservancies do not currently earn revenue from nature-based tourism)</w:t>
            </w:r>
          </w:p>
        </w:tc>
        <w:tc>
          <w:tcPr>
            <w:tcW w:w="2000" w:type="dxa"/>
            <w:gridSpan w:val="1"/>
            <w:noWrap/>
          </w:tcPr>
          <w:p>
            <w:pPr/>
            <w:r>
              <w:rPr/>
              <w:t xml:space="preserve">1 community conservancy earning revenue from nature-based tourism</w:t>
            </w:r>
          </w:p>
        </w:tc>
        <w:tc>
          <w:tcPr>
            <w:tcW w:w="2000" w:type="dxa"/>
            <w:gridSpan w:val="1"/>
            <w:noWrap/>
          </w:tcPr>
          <w:p>
            <w:pPr/>
            <w:r>
              <w:rPr/>
              <w:t xml:space="preserve">2 community conservancies</w:t>
            </w:r>
          </w:p>
          <w:p>
            <w:pPr/>
            <w:r>
              <w:rPr/>
              <w:t xml:space="preserve">(Bek tosot, Janaidar)</w:t>
            </w:r>
          </w:p>
          <w:p>
            <w:pPr/>
            <w:r>
              <w:rPr/>
              <w:t xml:space="preserve"/>
            </w:r>
          </w:p>
        </w:tc>
        <w:tc>
          <w:tcPr>
            <w:tcW w:w="4000" w:type="dxa"/>
            <w:gridSpan w:val="1"/>
            <w:noWrap/>
          </w:tcPr>
          <w:p>
            <w:pPr/>
            <w:r>
              <w:rPr>
                <w:i w:val="1"/>
                <w:iCs w:val="1"/>
              </w:rPr>
              <w:t xml:space="preserve">(not set or not applicable)</w:t>
            </w:r>
          </w:p>
        </w:tc>
        <w:tc>
          <w:tcPr>
            <w:tcW w:w="4000" w:type="dxa"/>
            <w:gridSpan w:val="1"/>
            <w:noWrap/>
          </w:tcPr>
          <w:p>
            <w:pPr/>
            <w:r>
              <w:rPr/>
              <w:t xml:space="preserve">On track.</w:t>
            </w:r>
          </w:p>
          <w:p>
            <w:pPr/>
            <w:r>
              <w:rPr/>
              <w:t xml:space="preserve">To implement on-the-ground activities in Bek-Tosot and Janaidar communities, the local NGO Snow Leopard Foundation Kyrgyzstan (SLFK) is being contracted by the Responsible Party, SLT.</w:t>
            </w:r>
          </w:p>
          <w:p>
            <w:pPr/>
            <w:r>
              <w:rPr/>
              <w:t xml:space="preserve"/>
            </w:r>
          </w:p>
        </w:tc>
      </w:tr>
      <w:tr>
        <w:trPr/>
        <w:tc>
          <w:tcPr>
            <w:tcW w:w="4000" w:type="dxa"/>
            <w:gridSpan w:val="1"/>
            <w:noWrap/>
          </w:tcPr>
          <w:p>
            <w:pPr/>
            <w:r>
              <w:rPr/>
              <w:t xml:space="preserve">16. Area under improved community-based biodiversity conservation management</w:t>
            </w:r>
          </w:p>
        </w:tc>
        <w:tc>
          <w:tcPr>
            <w:tcW w:w="2000" w:type="dxa"/>
            <w:gridSpan w:val="1"/>
            <w:noWrap/>
          </w:tcPr>
          <w:p>
            <w:pPr/>
            <w:r>
              <w:rPr/>
              <w:t xml:space="preserve">0 (no increment)</w:t>
            </w:r>
          </w:p>
        </w:tc>
        <w:tc>
          <w:tcPr>
            <w:tcW w:w="2000" w:type="dxa"/>
            <w:gridSpan w:val="1"/>
            <w:noWrap/>
          </w:tcPr>
          <w:p>
            <w:pPr/>
            <w:r>
              <w:rPr/>
              <w:t xml:space="preserve">338,064.5 ha</w:t>
            </w:r>
          </w:p>
          <w:p>
            <w:pPr/>
            <w:r>
              <w:rPr/>
              <w:t xml:space="preserve">(Hunting concession № 7, Chong-Alai district 180,807.9 ha, this area borders proposed new “Chong-Alai” Park; hunting concession № 9, Alai district 157,256.6 ha, this area is located about 50-60 km from the proposed new “Chong-Alai” Park)</w:t>
            </w:r>
          </w:p>
          <w:p>
            <w:pPr/>
            <w:r>
              <w:rPr/>
              <w:t xml:space="preserve"/>
            </w:r>
          </w:p>
        </w:tc>
        <w:tc>
          <w:tcPr>
            <w:tcW w:w="2000" w:type="dxa"/>
            <w:gridSpan w:val="1"/>
            <w:noWrap/>
          </w:tcPr>
          <w:p>
            <w:pPr/>
            <w:r>
              <w:rPr/>
              <w:t xml:space="preserve">338,064.5 ha</w:t>
            </w:r>
          </w:p>
          <w:p>
            <w:pPr/>
            <w:r>
              <w:rPr/>
              <w:t xml:space="preserve">(Hunting concession № 7, Chong-Alai district 180,807.9 ha, this area borders proposed new “Chong-Alai” Park; hunting concession № 9, Alai district 157,256.6 ha, this area is located about 50-60 km from the proposed new “Chong-Alai” Park)</w:t>
            </w:r>
          </w:p>
          <w:p>
            <w:pPr/>
            <w:r>
              <w:rPr/>
              <w:t xml:space="preserve"/>
            </w:r>
          </w:p>
        </w:tc>
        <w:tc>
          <w:tcPr>
            <w:tcW w:w="4000" w:type="dxa"/>
            <w:gridSpan w:val="1"/>
            <w:noWrap/>
          </w:tcPr>
          <w:p>
            <w:pPr/>
            <w:r>
              <w:rPr>
                <w:i w:val="1"/>
                <w:iCs w:val="1"/>
              </w:rPr>
              <w:t xml:space="preserve">(not set or not applicable)</w:t>
            </w:r>
          </w:p>
        </w:tc>
        <w:tc>
          <w:tcPr>
            <w:tcW w:w="4000" w:type="dxa"/>
            <w:gridSpan w:val="1"/>
            <w:noWrap/>
          </w:tcPr>
          <w:p>
            <w:pPr/>
            <w:r>
              <w:rPr/>
              <w:t xml:space="preserve">Not launched yet</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3</w:t>
            </w:r>
          </w:p>
          <w:p>
            <w:pPr/>
            <w:r>
              <w:rPr>
                <w:b w:val="1"/>
                <w:bCs w:val="1"/>
              </w:rPr>
              <w:t xml:space="preserve">Outcome 3: Enhanced cooperation and knowledge sharing supporting LDN, and strengthened conservation community of practice nationally and regionally</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2024</w:t>
            </w:r>
          </w:p>
        </w:tc>
        <w:tc>
          <w:tcPr>
            <w:tcW w:w="4000" w:type="dxa"/>
            <w:gridSpan w:val="1"/>
            <w:noWrap/>
          </w:tcPr>
          <w:p>
            <w:pPr/>
            <w:r>
              <w:rPr>
                <w:b w:val="1"/>
                <w:bCs w:val="1"/>
              </w:rPr>
              <w:t xml:space="preserve">Cumulative progress since project start as of Jun 30, 2025</w:t>
            </w:r>
          </w:p>
        </w:tc>
      </w:tr>
      <w:tr>
        <w:trPr/>
        <w:tc>
          <w:tcPr>
            <w:tcW w:w="4000" w:type="dxa"/>
            <w:gridSpan w:val="1"/>
            <w:noWrap/>
          </w:tcPr>
          <w:p>
            <w:pPr/>
            <w:r>
              <w:rPr/>
              <w:t xml:space="preserve">17. Case studies / best practice knowledge products developed and disseminated, or events held, through national, regional, and global platforms, with at least one regional event and one published document related to future development of transboundary PAs in Pamir-Alai (number)</w:t>
            </w:r>
          </w:p>
        </w:tc>
        <w:tc>
          <w:tcPr>
            <w:tcW w:w="2000" w:type="dxa"/>
            <w:gridSpan w:val="1"/>
            <w:noWrap/>
          </w:tcPr>
          <w:p>
            <w:pPr/>
            <w:r>
              <w:rPr/>
              <w:t xml:space="preserve">0</w:t>
            </w:r>
          </w:p>
        </w:tc>
        <w:tc>
          <w:tcPr>
            <w:tcW w:w="2000" w:type="dxa"/>
            <w:gridSpan w:val="1"/>
            <w:noWrap/>
          </w:tcPr>
          <w:p>
            <w:pPr/>
            <w:r>
              <w:rPr/>
              <w:t xml:space="preserve">3</w:t>
            </w:r>
          </w:p>
        </w:tc>
        <w:tc>
          <w:tcPr>
            <w:tcW w:w="2000" w:type="dxa"/>
            <w:gridSpan w:val="1"/>
            <w:noWrap/>
          </w:tcPr>
          <w:p>
            <w:pPr/>
            <w:r>
              <w:rPr/>
              <w:t xml:space="preserve">10</w:t>
            </w:r>
          </w:p>
        </w:tc>
        <w:tc>
          <w:tcPr>
            <w:tcW w:w="4000" w:type="dxa"/>
            <w:gridSpan w:val="1"/>
            <w:noWrap/>
          </w:tcPr>
          <w:p>
            <w:pPr/>
            <w:r>
              <w:rPr>
                <w:i w:val="1"/>
                <w:iCs w:val="1"/>
              </w:rPr>
              <w:t xml:space="preserve">(not set or not applicable)</w:t>
            </w:r>
          </w:p>
        </w:tc>
        <w:tc>
          <w:tcPr>
            <w:tcW w:w="4000" w:type="dxa"/>
            <w:gridSpan w:val="1"/>
            <w:noWrap/>
          </w:tcPr>
          <w:p>
            <w:pPr/>
            <w:r>
              <w:rPr/>
              <w:t xml:space="preserve">On track KM groundwork ongoing.</w:t>
            </w:r>
          </w:p>
          <w:p>
            <w:pPr/>
            <w:r>
              <w:rPr/>
              <w:t xml:space="preserve"/>
            </w:r>
          </w:p>
          <w:p>
            <w:pPr/>
            <w:r>
              <w:rPr/>
              <w:t xml:space="preserve">The project supported the GSLEP Steering Committee Meeting, hosted by the Ministry of Natural Resources, Ecology, and Technical Supervision (MNRETS) on behalf of the Government of the Kyrgyz Republic, held on June 5–6, 2025, in Cholpon-Ata, Kyrgyzstan. The event convened delegations from all 12 snow leopard range countries to review ongoing conservation efforts, identify priority actions for snow leopard and High Asia ecosystem conservation, and enhance the welfare of local communities. Discussions focused on innovative conservation financing, climate adaptation in high mountain regions, and community-centric conservation and sustainable livelihoods.</w:t>
            </w:r>
          </w:p>
          <w:p>
            <w:pPr/>
            <w:r>
              <w:rPr/>
              <w:t xml:space="preserve">Prepared Cholpon-Ata Resolution, committing to increased financial support for climate adaptation and conflict mitigation programs tailored for Indigenous peoples and local communities. The resolution emphasizes strengthening the ethical foundations of snow leopard conservation policies, highlighting the critical role of local leadership and sustainable economies in protecting snow leopards and their habitats. The resolution is adopted by the majority of participating countries - China is reviewing it.</w:t>
            </w:r>
          </w:p>
          <w:p>
            <w:pPr/>
            <w:r>
              <w:rPr/>
              <w:t xml:space="preserve">The meeting included contributions from relevant NGOs and international funding institutions through sessions addressing snow leopard conservation, policy, threats, research, and related topics, fostering collaboration among conservationists, regulators, and governments to support snow leopards and the Indigenous communities sharing their ecosystems.</w:t>
            </w:r>
          </w:p>
          <w:p>
            <w:pPr/>
            <w:r>
              <w:rPr/>
              <w:t xml:space="preserve">Evidence:</w:t>
            </w:r>
          </w:p>
          <w:p>
            <w:pPr/>
            <w:r>
              <w:rPr/>
              <w:t xml:space="preserve">Annex 26. GSLEP 9th Meeting-Cholpon Ata Resolution</w:t>
            </w:r>
          </w:p>
          <w:p>
            <w:pPr/>
            <w:r>
              <w:rPr/>
              <w:t xml:space="preserve">Annex 32. List of participants GSLEP SCM 2025</w:t>
            </w:r>
          </w:p>
          <w:p>
            <w:pPr/>
            <w:r>
              <w:rPr/>
              <w:t xml:space="preserve">Annex 32.1. BTOR_ GSLEP_Meeting</w:t>
            </w:r>
          </w:p>
          <w:p>
            <w:pPr/>
            <w:r>
              <w:rPr/>
              <w:t xml:space="preserve"/>
            </w:r>
          </w:p>
        </w:tc>
      </w:tr>
      <w:tr>
        <w:trPr/>
        <w:tc>
          <w:tcPr>
            <w:tcW w:w="4000" w:type="dxa"/>
            <w:gridSpan w:val="1"/>
            <w:noWrap/>
          </w:tcPr>
          <w:p>
            <w:pPr/>
            <w:r>
              <w:rPr/>
              <w:t xml:space="preserve">18. Participants trained in biodiversity conservation and integrated land management for LDN (total number; % female)</w:t>
            </w:r>
          </w:p>
        </w:tc>
        <w:tc>
          <w:tcPr>
            <w:tcW w:w="2000" w:type="dxa"/>
            <w:gridSpan w:val="1"/>
            <w:noWrap/>
          </w:tcPr>
          <w:p>
            <w:pPr/>
            <w:r>
              <w:rPr/>
              <w:t xml:space="preserve">0</w:t>
            </w:r>
          </w:p>
        </w:tc>
        <w:tc>
          <w:tcPr>
            <w:tcW w:w="2000" w:type="dxa"/>
            <w:gridSpan w:val="1"/>
            <w:noWrap/>
          </w:tcPr>
          <w:p>
            <w:pPr/>
            <w:r>
              <w:rPr/>
              <w:t xml:space="preserve">50</w:t>
            </w:r>
          </w:p>
        </w:tc>
        <w:tc>
          <w:tcPr>
            <w:tcW w:w="2000" w:type="dxa"/>
            <w:gridSpan w:val="1"/>
            <w:noWrap/>
          </w:tcPr>
          <w:p>
            <w:pPr/>
            <w:r>
              <w:rPr/>
              <w:t xml:space="preserve">200; 35%</w:t>
            </w:r>
          </w:p>
          <w:p>
            <w:pPr/>
            <w:r>
              <w:rPr/>
              <w:t xml:space="preserve">(50 at national level; 50 at oblast level; 100 at district and local level)</w:t>
            </w:r>
          </w:p>
          <w:p>
            <w:pPr/>
            <w:r>
              <w:rPr/>
              <w:t xml:space="preserve"/>
            </w:r>
          </w:p>
        </w:tc>
        <w:tc>
          <w:tcPr>
            <w:tcW w:w="4000" w:type="dxa"/>
            <w:gridSpan w:val="1"/>
            <w:noWrap/>
          </w:tcPr>
          <w:p>
            <w:pPr/>
            <w:r>
              <w:rPr>
                <w:i w:val="1"/>
                <w:iCs w:val="1"/>
              </w:rPr>
              <w:t xml:space="preserve">(not set or not applicable)</w:t>
            </w:r>
          </w:p>
        </w:tc>
        <w:tc>
          <w:tcPr>
            <w:tcW w:w="4000" w:type="dxa"/>
            <w:gridSpan w:val="1"/>
            <w:noWrap/>
          </w:tcPr>
          <w:p>
            <w:pPr/>
            <w:r>
              <w:rPr/>
              <w:t xml:space="preserve">On track</w:t>
            </w:r>
          </w:p>
          <w:p>
            <w:pPr/>
            <w:r>
              <w:rPr/>
              <w:t xml:space="preserve">No results yet, but trainings on biodiversity conservation and integrated land management for Land Degradation Neutrality (LDN) are currently being scheduled.</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4</w:t>
            </w:r>
          </w:p>
          <w:p>
            <w:pPr/>
            <w:r>
              <w:rPr>
                <w:b w:val="1"/>
                <w:bCs w:val="1"/>
              </w:rPr>
              <w:t xml:space="preserve">Outcome 4. Project implemented in an accountable and transparent manner, with results documented and available to public</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2024</w:t>
            </w:r>
          </w:p>
        </w:tc>
        <w:tc>
          <w:tcPr>
            <w:tcW w:w="4000" w:type="dxa"/>
            <w:gridSpan w:val="1"/>
            <w:noWrap/>
          </w:tcPr>
          <w:p>
            <w:pPr/>
            <w:r>
              <w:rPr>
                <w:b w:val="1"/>
                <w:bCs w:val="1"/>
              </w:rPr>
              <w:t xml:space="preserve">Cumulative progress since project start as of Jun 30, 2025</w:t>
            </w:r>
          </w:p>
        </w:tc>
      </w:tr>
      <w:tr>
        <w:trPr/>
        <w:tc>
          <w:tcPr>
            <w:tcW w:w="4000" w:type="dxa"/>
            <w:gridSpan w:val="1"/>
            <w:noWrap/>
          </w:tcPr>
          <w:p>
            <w:pPr/>
            <w:r>
              <w:rPr/>
              <w:t xml:space="preserve">19. Status of required project monitoring and evaluation activities</w:t>
            </w:r>
          </w:p>
        </w:tc>
        <w:tc>
          <w:tcPr>
            <w:tcW w:w="2000" w:type="dxa"/>
            <w:gridSpan w:val="1"/>
            <w:noWrap/>
          </w:tcPr>
          <w:p>
            <w:pPr/>
            <w:r>
              <w:rPr/>
              <w:t xml:space="preserve">N/A</w:t>
            </w:r>
          </w:p>
        </w:tc>
        <w:tc>
          <w:tcPr>
            <w:tcW w:w="2000" w:type="dxa"/>
            <w:gridSpan w:val="1"/>
            <w:noWrap/>
          </w:tcPr>
          <w:p>
            <w:pPr/>
            <w:r>
              <w:rPr/>
              <w:t xml:space="preserve">Mid-term Review successfully completed, with all required inputs, including inception report, PIRs, co-finance reporting, tracking tools, and management response complete.</w:t>
            </w:r>
          </w:p>
        </w:tc>
        <w:tc>
          <w:tcPr>
            <w:tcW w:w="2000" w:type="dxa"/>
            <w:gridSpan w:val="1"/>
            <w:noWrap/>
          </w:tcPr>
          <w:p>
            <w:pPr/>
            <w:r>
              <w:rPr/>
              <w:t xml:space="preserve">Terminal Evaluation successfully completed, with all required inputs, including PIRs, co-finance reporting, tracking tools, and management response complete.</w:t>
            </w:r>
          </w:p>
        </w:tc>
        <w:tc>
          <w:tcPr>
            <w:tcW w:w="4000" w:type="dxa"/>
            <w:gridSpan w:val="1"/>
            <w:noWrap/>
          </w:tcPr>
          <w:p>
            <w:pPr/>
            <w:r>
              <w:rPr>
                <w:i w:val="1"/>
                <w:iCs w:val="1"/>
              </w:rPr>
              <w:t xml:space="preserve">(not set or not applicable)</w:t>
            </w:r>
          </w:p>
        </w:tc>
        <w:tc>
          <w:tcPr>
            <w:tcW w:w="4000" w:type="dxa"/>
            <w:gridSpan w:val="1"/>
            <w:noWrap/>
          </w:tcPr>
          <w:p>
            <w:pPr/>
            <w:r>
              <w:rPr/>
              <w:t xml:space="preserve">On track — Inception Workshop held (28 Feb 2024); FY25 PIR completed; MTR scheduled 27 May 2026; TE expected 27 Aug 2028</w:t>
            </w:r>
          </w:p>
          <w:p>
            <w:pPr/>
            <w:r>
              <w:rPr/>
              <w:t xml:space="preserve"/>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5</w:t>
            </w:r>
          </w:p>
          <w:p>
            <w:pPr/>
            <w:r>
              <w:rPr>
                <w:b w:val="1"/>
                <w:bCs w:val="1"/>
              </w:rPr>
              <w:t xml:space="preserve">Cross-cutting: Gender mainstreaming during implementation</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2024</w:t>
            </w:r>
          </w:p>
        </w:tc>
        <w:tc>
          <w:tcPr>
            <w:tcW w:w="4000" w:type="dxa"/>
            <w:gridSpan w:val="1"/>
            <w:noWrap/>
          </w:tcPr>
          <w:p>
            <w:pPr/>
            <w:r>
              <w:rPr>
                <w:b w:val="1"/>
                <w:bCs w:val="1"/>
              </w:rPr>
              <w:t xml:space="preserve">Cumulative progress since project start as of Jun 30, 2025</w:t>
            </w:r>
          </w:p>
        </w:tc>
      </w:tr>
      <w:tr>
        <w:trPr/>
        <w:tc>
          <w:tcPr>
            <w:tcW w:w="4000" w:type="dxa"/>
            <w:gridSpan w:val="1"/>
            <w:noWrap/>
          </w:tcPr>
          <w:p>
            <w:pPr/>
            <w:r>
              <w:rPr/>
              <w:t xml:space="preserve">20. Consistency of project gender mainstreaming approach with project plans</w:t>
            </w:r>
          </w:p>
        </w:tc>
        <w:tc>
          <w:tcPr>
            <w:tcW w:w="2000" w:type="dxa"/>
            <w:gridSpan w:val="1"/>
            <w:noWrap/>
          </w:tcPr>
          <w:p>
            <w:pPr/>
            <w:r>
              <w:rPr/>
              <w:t xml:space="preserve">N/A – Project not under implementation; project design includes multiple elements designed to mainstream gender</w:t>
            </w:r>
          </w:p>
        </w:tc>
        <w:tc>
          <w:tcPr>
            <w:tcW w:w="2000" w:type="dxa"/>
            <w:gridSpan w:val="1"/>
            <w:noWrap/>
          </w:tcPr>
          <w:p>
            <w:pPr/>
            <w:r>
              <w:rPr/>
              <w:t xml:space="preserve">Gender mainstreaming action plan integrated in project workplan and under implementation</w:t>
            </w:r>
          </w:p>
        </w:tc>
        <w:tc>
          <w:tcPr>
            <w:tcW w:w="2000" w:type="dxa"/>
            <w:gridSpan w:val="1"/>
            <w:noWrap/>
          </w:tcPr>
          <w:p>
            <w:pPr/>
            <w:r>
              <w:rPr/>
              <w:t xml:space="preserve">Gender mainstreaming carried out during project implementation, as indicated by:</w:t>
            </w:r>
          </w:p>
          <w:p>
            <w:pPr/>
            <w:r>
              <w:rPr/>
              <w:t xml:space="preserve">a.	Project Board and local stakeholder resource management boards have gender balance and/or include a gender expert;</w:t>
            </w:r>
          </w:p>
          <w:p>
            <w:pPr/>
            <w:r>
              <w:rPr/>
              <w:t xml:space="preserve">b.	Policies, laws, and regulations developed with project support include gender perspectives, as relevant</w:t>
            </w:r>
          </w:p>
          <w:p>
            <w:pPr/>
            <w:r>
              <w:rPr/>
              <w:t xml:space="preserve">c.	Project events and activities (e.g. trainings) promote gender balance among invited participants, as feasible</w:t>
            </w:r>
          </w:p>
          <w:p>
            <w:pPr/>
            <w:r>
              <w:rPr/>
              <w:t xml:space="preserve">d.	Project technical training activities proactively recruit participants to achieve gender balance</w:t>
            </w:r>
          </w:p>
          <w:p>
            <w:pPr/>
            <w:r>
              <w:rPr/>
              <w:t xml:space="preserve">e.	Project education and awareness activities are developed and carried out incorporating gender perspectives, as relevant</w:t>
            </w:r>
          </w:p>
          <w:p>
            <w:pPr/>
            <w:r>
              <w:rPr/>
              <w:t xml:space="preserve">f.	Gender disaggregated indicators are reported on annually</w:t>
            </w:r>
          </w:p>
          <w:p>
            <w:pPr/>
            <w:r>
              <w:rPr/>
              <w:t xml:space="preserve"/>
            </w:r>
          </w:p>
        </w:tc>
        <w:tc>
          <w:tcPr>
            <w:tcW w:w="4000" w:type="dxa"/>
            <w:gridSpan w:val="1"/>
            <w:noWrap/>
          </w:tcPr>
          <w:p>
            <w:pPr/>
            <w:r>
              <w:rPr>
                <w:i w:val="1"/>
                <w:iCs w:val="1"/>
              </w:rPr>
              <w:t xml:space="preserve">(not set or not applicable)</w:t>
            </w:r>
          </w:p>
        </w:tc>
        <w:tc>
          <w:tcPr>
            <w:tcW w:w="4000" w:type="dxa"/>
            <w:gridSpan w:val="1"/>
            <w:noWrap/>
          </w:tcPr>
          <w:p>
            <w:pPr/>
            <w:r>
              <w:rPr/>
              <w:t xml:space="preserve">Under implementation — gender-responsive planning and participation noted (e.g., 30–42% women in consultations/training cohorts.</w:t>
            </w:r>
          </w:p>
          <w:p>
            <w:pPr/>
            <w:r>
              <w:rPr/>
              <w:t xml:space="preserve">The Gender Mainstreaming Action Plan is fully integrated into the project work plan and is under implementation.</w:t>
            </w:r>
          </w:p>
          <w:p>
            <w:pPr/>
            <w:r>
              <w:rPr/>
              <w:t xml:space="preserve"/>
            </w:r>
          </w:p>
          <w:p>
            <w:pPr/>
            <w:r>
              <w:rPr/>
              <w:t xml:space="preserve">The project's gender mainstreaming approach is consistent with project plans, as demonstrated by the following:</w:t>
            </w:r>
          </w:p>
          <w:p>
            <w:pPr/>
            <w:r>
              <w:rPr/>
              <w:t xml:space="preserve">a. Project Board and Local Stakeholder Resource Management Boards: The Project Board Meeting held on 19 December 2024 in Bishkek achieved 42% female representation (11 women and 15 men). Similarly, the Working Group meeting on 14 July 2024 in Bishkek included 33% female participation (6 women and 12 men).</w:t>
            </w:r>
          </w:p>
          <w:p>
            <w:pPr/>
            <w:r>
              <w:rPr/>
              <w:t xml:space="preserve">b. Policies, Laws, and Regulations: The Gender work plan, reviewed and approved by the UNDP Gender expert, suggests that policies and plans developed with project support incorporate gender perspectives. While specific laws or regulations have not yet been addressed, the foundation for gender-responsive planning is in place.</w:t>
            </w:r>
          </w:p>
          <w:p>
            <w:pPr/>
            <w:r>
              <w:rPr/>
              <w:t xml:space="preserve">c. Gender Balance in Project Activities and Events:</w:t>
            </w:r>
          </w:p>
          <w:p>
            <w:pPr/>
            <w:r>
              <w:rPr/>
              <w:t xml:space="preserve">During the IX Steering Committee Meeting of the Global Snow Leopard and Ecosystem Protection Program (GSLEP), held on 5–6 June 2025 in Issyk-Kul, women made up 30% of the 142 participants (43 women). The project also conducted a Gender Sensitivity Training on 13 June 2025 in Bishkek, which achieved full gender balance with 16 participants (8 women and 8 men). In addition, during the field survey on tourism potential in the project area, 172 community representatives , including 67 women (39%), were interviewed. In addition, 86 representatives of local communities participated in the kick-off meetings with leskhozes, including 6 women (7%).</w:t>
            </w:r>
          </w:p>
          <w:p>
            <w:pPr/>
            <w:r>
              <w:rPr/>
              <w:t xml:space="preserve">Evidence:</w:t>
            </w:r>
          </w:p>
          <w:p>
            <w:pPr/>
            <w:r>
              <w:rPr/>
              <w:t xml:space="preserve">Annex 33. Pamir-Alai Project Board_ORDER_ ToR-Composition</w:t>
            </w:r>
          </w:p>
          <w:p>
            <w:pPr/>
            <w:r>
              <w:rPr/>
              <w:t xml:space="preserve">Annex 34. Project_Board_1st Meeting Minutes</w:t>
            </w:r>
          </w:p>
          <w:p>
            <w:pPr/>
            <w:r>
              <w:rPr/>
              <w:t xml:space="preserve">Annex 35. Gender Action Plan_AWP_approvedGender</w:t>
            </w:r>
          </w:p>
          <w:p>
            <w:pPr/>
            <w:r>
              <w:rPr/>
              <w:t xml:space="preserve">Annex 32. List of participants GSLEP SCM 2025</w:t>
            </w:r>
          </w:p>
          <w:p>
            <w:pPr/>
            <w:r>
              <w:rPr/>
              <w:t xml:space="preserve">Annex 37 Gender Sensitivity Training Agenda, LoP, photo</w:t>
            </w:r>
          </w:p>
          <w:p>
            <w:pPr/>
            <w:r>
              <w:rPr/>
              <w:t xml:space="preserve">Annex 38. Clearance of Gender Expert-ToRs and AWP</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6</w:t>
            </w:r>
          </w:p>
          <w:p>
            <w:pPr/>
            <w:r>
              <w:rPr>
                <w:b w:val="1"/>
                <w:bCs w:val="1"/>
              </w:rPr>
              <w:t xml:space="preserve">Cross-cutting:</w:t>
            </w:r>
          </w:p>
          <w:p>
            <w:pPr/>
            <w:r>
              <w:rPr>
                <w:b w:val="1"/>
                <w:bCs w:val="1"/>
              </w:rPr>
              <w:t xml:space="preserve">Co-benefit contribution to climate change mitigation</w:t>
            </w:r>
          </w:p>
          <w:p>
            <w:pPr/>
            <w:r>
              <w:rPr>
                <w:b w:val="1"/>
                <w:bCs w:val="1"/>
              </w:rPr>
              <w:t xml:space="preserve"/>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2024</w:t>
            </w:r>
          </w:p>
        </w:tc>
        <w:tc>
          <w:tcPr>
            <w:tcW w:w="4000" w:type="dxa"/>
            <w:gridSpan w:val="1"/>
            <w:noWrap/>
          </w:tcPr>
          <w:p>
            <w:pPr/>
            <w:r>
              <w:rPr>
                <w:b w:val="1"/>
                <w:bCs w:val="1"/>
              </w:rPr>
              <w:t xml:space="preserve">Cumulative progress since project start as of Jun 30, 2025</w:t>
            </w:r>
          </w:p>
        </w:tc>
      </w:tr>
      <w:tr>
        <w:trPr/>
        <w:tc>
          <w:tcPr>
            <w:tcW w:w="4000" w:type="dxa"/>
            <w:gridSpan w:val="1"/>
            <w:noWrap/>
          </w:tcPr>
          <w:p>
            <w:pPr/>
            <w:r>
              <w:rPr/>
              <w:t xml:space="preserve">21. Tons of GHG avoided / sequestered (GEF-7 Core Indicator 6.1)</w:t>
            </w:r>
          </w:p>
        </w:tc>
        <w:tc>
          <w:tcPr>
            <w:tcW w:w="2000" w:type="dxa"/>
            <w:gridSpan w:val="1"/>
            <w:noWrap/>
          </w:tcPr>
          <w:p>
            <w:pPr/>
            <w:r>
              <w:rPr/>
              <w:t xml:space="preserve">N/A (project activities not under implementation)</w:t>
            </w:r>
          </w:p>
        </w:tc>
        <w:tc>
          <w:tcPr>
            <w:tcW w:w="2000" w:type="dxa"/>
            <w:gridSpan w:val="1"/>
            <w:noWrap/>
          </w:tcPr>
          <w:p>
            <w:pPr/>
            <w:r>
              <w:rPr/>
              <w:t xml:space="preserve">0 (project activities not yet at stage where GHGs avoided / sequestered)</w:t>
            </w:r>
          </w:p>
        </w:tc>
        <w:tc>
          <w:tcPr>
            <w:tcW w:w="2000" w:type="dxa"/>
            <w:gridSpan w:val="1"/>
            <w:noWrap/>
          </w:tcPr>
          <w:p>
            <w:pPr/>
            <w:r>
              <w:rPr/>
              <w:t xml:space="preserve">6,148,637 t CO2 eq</w:t>
            </w:r>
          </w:p>
        </w:tc>
        <w:tc>
          <w:tcPr>
            <w:tcW w:w="4000" w:type="dxa"/>
            <w:gridSpan w:val="1"/>
            <w:noWrap/>
          </w:tcPr>
          <w:p>
            <w:pPr/>
            <w:r>
              <w:rPr>
                <w:i w:val="1"/>
                <w:iCs w:val="1"/>
              </w:rPr>
              <w:t xml:space="preserve">(not set or not applicable)</w:t>
            </w:r>
          </w:p>
        </w:tc>
        <w:tc>
          <w:tcPr>
            <w:tcW w:w="4000" w:type="dxa"/>
            <w:gridSpan w:val="1"/>
            <w:noWrap/>
          </w:tcPr>
          <w:p>
            <w:pPr/>
            <w:r>
              <w:rPr/>
              <w:t xml:space="preserve">Project activities not yet at stage where GHGs avoided / sequestered</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N/A</w:t>
            </w:r>
          </w:p>
        </w:tc>
      </w:tr>
      <w:tr>
        <w:trPr/>
        <w:tc>
          <w:tcPr>
            <w:tcW w:w="4000" w:type="dxa"/>
            <w:gridSpan w:val="1"/>
            <w:noWrap/>
          </w:tcPr>
          <w:p>
            <w:pPr/>
            <w:r>
              <w:rPr>
                <w:b w:val="1"/>
                <w:bCs w:val="1"/>
              </w:rPr>
              <w:t xml:space="preserve">Explanation why the evidence was not provided:</w:t>
            </w:r>
          </w:p>
        </w:tc>
        <w:tc>
          <w:tcPr>
            <w:tcW w:w="12000" w:type="dxa"/>
            <w:gridSpan w:val="5"/>
            <w:noWrap/>
          </w:tcPr>
          <w:p>
            <w:pPr>
              <w:spacing w:before="0" w:after="0"/>
            </w:pPr>
            <w:r>
              <w:rPr/>
              <w:t xml:space="preserve">Project activities not yet at stage where GHGs avoided / sequestered</w:t>
            </w:r>
          </w:p>
        </w:tc>
      </w:tr>
    </w:tbl>
    <w:p>
      <w:pPr>
        <w:sectPr>
          <w:pgSz w:orient="landscape" w:w="16837.79527559055" w:h="11905.511811023622"/>
          <w:pgMar w:top="500" w:right="500" w:bottom="500" w:left="500" w:header="720" w:footer="720" w:gutter="0"/>
          <w:cols w:num="1" w:space="720"/>
        </w:sectPr>
      </w:pPr>
    </w:p>
    <w:p>
      <w:pPr>
        <w:pStyle w:val="Heading1"/>
      </w:pPr>
      <w:bookmarkStart w:id="10" w:name="_Toc10"/>
      <w:r>
        <w:t>Finance/Co-Finance</w:t>
      </w:r>
      <w:bookmarkEnd w:id="10"/>
    </w:p>
    <w:p>
      <w:pPr>
        <w:pStyle w:val="Heading2"/>
      </w:pPr>
      <w:bookmarkStart w:id="11" w:name="_Toc11"/>
      <w:r>
        <w:t>Finance/Co-finance</w:t>
      </w:r>
      <w:bookmarkEnd w:id="11"/>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
            </w:r>
          </w:p>
          <w:p>
            <w:pPr/>
            <w:r>
              <w:rPr>
                <w:b w:val="1"/>
                <w:bCs w:val="1"/>
              </w:rPr>
              <w:t xml:space="preserve">Please provide a brief update on co-financing for this project. How has expected co-financing changed during implementation? How has co-financing contributed to achieving expected results?</w:t>
            </w:r>
          </w:p>
          <w:p>
            <w:pPr/>
            <w:r>
              <w:rPr>
                <w:b w:val="1"/>
                <w:bCs w:val="1"/>
              </w:rPr>
              <w:t xml:space="preserve"/>
            </w:r>
          </w:p>
          <w:p>
            <w:pPr/>
            <w:r>
              <w:rPr>
                <w:b w:val="1"/>
                <w:bCs w:val="1"/>
              </w:rPr>
              <w:t xml:space="preserve">(This question will not be submitted to the GEF.)</w:t>
            </w:r>
          </w:p>
        </w:tc>
      </w:tr>
      <w:tr>
        <w:trPr/>
        <w:tc>
          <w:tcPr>
            <w:tcW w:w="10000" w:type="dxa"/>
            <w:gridSpan w:val="1"/>
            <w:noWrap/>
          </w:tcPr>
          <w:p>
            <w:pPr/>
            <w:r>
              <w:rPr/>
              <w:t xml:space="preserve">At this stage of the project, co-financing is being secured as planned. Investment projects expected to contribute to co-financing have recently been launched by partners and are progressing on time. Procurement processes, including the acquisition of vehicles using UN</w:t>
            </w:r>
          </w:p>
          <w:p>
            <w:pPr/>
            <w:r>
              <w:rPr/>
              <w:t xml:space="preserve">Total realized co-financing amounts to USD 1,815,537 which is equal to around 9% of total committed. This includes in-kind contributions from the Ministry of Natural Resources, Ecology, and Technical Supervision (MNRETS) totaling USD 1,474,537; a grant projects from CAMP Ala-Too in the amount of USD 250,000; in-kind contribution from SLT valued at USD 61,000; and a grant from UNDP TRAC amounting to USD 30,000.</w:t>
            </w:r>
          </w:p>
        </w:tc>
      </w:tr>
    </w:tbl>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Cumulative GL delivery against total approved amount (in prodoc):</w:t>
            </w:r>
          </w:p>
        </w:tc>
        <w:tc>
          <w:tcPr>
            <w:tcW w:w="5000" w:type="dxa"/>
            <w:vAlign w:val="center"/>
            <w:gridSpan w:val="1"/>
            <w:noWrap/>
          </w:tcPr>
          <w:p>
            <w:pPr>
              <w:jc w:val="right"/>
            </w:pPr>
            <w:r>
              <w:rPr/>
              <w:t xml:space="preserve">3.16%</w:t>
            </w:r>
          </w:p>
        </w:tc>
      </w:tr>
      <w:tr>
        <w:trPr/>
        <w:tc>
          <w:tcPr>
            <w:tcW w:w="5000" w:type="dxa"/>
            <w:gridSpan w:val="1"/>
            <w:noWrap/>
          </w:tcPr>
          <w:p>
            <w:pPr/>
            <w:r>
              <w:rPr/>
              <w:t xml:space="preserve">Cumulative GL delivery against expected delivery as of this year:</w:t>
            </w:r>
          </w:p>
        </w:tc>
        <w:tc>
          <w:tcPr>
            <w:tcW w:w="5000" w:type="dxa"/>
            <w:vAlign w:val="center"/>
            <w:gridSpan w:val="1"/>
            <w:noWrap/>
          </w:tcPr>
          <w:p>
            <w:pPr>
              <w:jc w:val="right"/>
            </w:pPr>
            <w:r>
              <w:rPr/>
              <w:t xml:space="preserve">4.97%</w:t>
            </w:r>
          </w:p>
        </w:tc>
      </w:tr>
      <w:tr>
        <w:trPr/>
        <w:tc>
          <w:tcPr>
            <w:tcW w:w="5000" w:type="dxa"/>
            <w:vAlign w:val="center"/>
            <w:noWrap/>
          </w:tcPr>
          <w:p>
            <w:pPr/>
            <w:r>
              <w:rPr/>
              <w:t xml:space="preserve">Cumulative disbursement as of Jun 30, 2025:</w:t>
            </w:r>
          </w:p>
          <w:p>
            <w:pPr/>
            <w:r>
              <w:rPr>
                <w:i w:val="1"/>
                <w:iCs w:val="1"/>
              </w:rPr>
              <w:t xml:space="preserve">
*Disbursement for the FY 2025 period is an estimate as books for UNDP Q2 2025 are not yet closed.</w:t>
            </w:r>
          </w:p>
        </w:tc>
        <w:tc>
          <w:tcPr>
            <w:tcW w:w="5000" w:type="dxa"/>
            <w:vAlign w:val="center"/>
            <w:gridSpan w:val="1"/>
            <w:noWrap/>
          </w:tcPr>
          <w:p>
            <w:pPr>
              <w:jc w:val="right"/>
            </w:pPr>
            <w:r>
              <w:rPr/>
              <w:t xml:space="preserve">83,328</w:t>
            </w:r>
          </w:p>
        </w:tc>
      </w:tr>
    </w:tbl>
    <w:p>
      <w:pPr>
        <w:pStyle w:val="Heading2"/>
      </w:pPr>
      <w:bookmarkStart w:id="12" w:name="_Toc12"/>
      <w:r>
        <w:t>Key Financing Amounts</w:t>
      </w:r>
      <w:bookmarkEnd w:id="12"/>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PPG Amount</w:t>
            </w:r>
          </w:p>
        </w:tc>
        <w:tc>
          <w:tcPr>
            <w:tcW w:w="5000" w:type="dxa"/>
            <w:vAlign w:val="center"/>
            <w:gridSpan w:val="1"/>
            <w:noWrap/>
          </w:tcPr>
          <w:p>
            <w:pPr>
              <w:jc w:val="right"/>
            </w:pPr>
            <w:r>
              <w:rPr/>
              <w:t xml:space="preserve">100,000</w:t>
            </w:r>
          </w:p>
        </w:tc>
      </w:tr>
      <w:tr>
        <w:trPr/>
        <w:tc>
          <w:tcPr>
            <w:tcW w:w="5000" w:type="dxa"/>
            <w:gridSpan w:val="1"/>
            <w:noWrap/>
          </w:tcPr>
          <w:p>
            <w:pPr/>
            <w:r>
              <w:rPr/>
              <w:t xml:space="preserve">GEF Grant Amount</w:t>
            </w:r>
          </w:p>
        </w:tc>
        <w:tc>
          <w:tcPr>
            <w:tcW w:w="5000" w:type="dxa"/>
            <w:vAlign w:val="center"/>
            <w:gridSpan w:val="1"/>
            <w:noWrap/>
          </w:tcPr>
          <w:p>
            <w:pPr>
              <w:jc w:val="right"/>
            </w:pPr>
            <w:r>
              <w:rPr/>
              <w:t xml:space="preserve">2,639,726</w:t>
            </w:r>
          </w:p>
        </w:tc>
      </w:tr>
      <w:tr>
        <w:trPr/>
        <w:tc>
          <w:tcPr>
            <w:tcW w:w="5000" w:type="dxa"/>
            <w:gridSpan w:val="1"/>
            <w:noWrap/>
          </w:tcPr>
          <w:p>
            <w:pPr/>
            <w:r>
              <w:rPr/>
              <w:t xml:space="preserve">Co-financing</w:t>
            </w:r>
          </w:p>
        </w:tc>
        <w:tc>
          <w:tcPr>
            <w:tcW w:w="5000" w:type="dxa"/>
            <w:vAlign w:val="center"/>
            <w:gridSpan w:val="1"/>
            <w:noWrap/>
          </w:tcPr>
          <w:p>
            <w:pPr>
              <w:jc w:val="right"/>
            </w:pPr>
            <w:r>
              <w:rPr/>
              <w:t xml:space="preserve">20,272,918</w:t>
            </w:r>
          </w:p>
        </w:tc>
      </w:tr>
    </w:tbl>
    <w:p>
      <w:pPr>
        <w:sectPr>
          <w:pgSz w:orient="portrait" w:w="11905.511811023622" w:h="16837.79527559055"/>
          <w:pgMar w:top="1440" w:right="1440" w:bottom="1440" w:left="1440" w:header="720" w:footer="720" w:gutter="0"/>
          <w:cols w:num="1" w:space="720"/>
        </w:sectPr>
      </w:pPr>
    </w:p>
    <w:p>
      <w:pPr>
        <w:pStyle w:val="Heading1"/>
      </w:pPr>
      <w:bookmarkStart w:id="13" w:name="_Toc13"/>
      <w:r>
        <w:t>Implementation Progress</w:t>
      </w:r>
      <w:bookmarkEnd w:id="13"/>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Project Manager: Please provide comments on delays with outputs/activities during the period 1 July 2024 through 30 June 2025.  If there were no delays, please indicate 'not applicable'.</w:t>
            </w:r>
          </w:p>
        </w:tc>
      </w:tr>
      <w:tr>
        <w:trPr/>
        <w:tc>
          <w:tcPr>
            <w:tcW w:w="10000" w:type="dxa"/>
            <w:gridSpan w:val="1"/>
            <w:noWrap/>
          </w:tcPr>
          <w:p>
            <w:pPr/>
            <w:r>
              <w:rPr/>
              <w:t xml:space="preserve">Delays were experienced during the reporting period due to technical issues with project entry in the QUANTUM system. Specifically, significant challenges arose in creating a new award and a new project in the system, because there was no proper guidance or documentation available. As a result, several months were lost, which delayed the overall project initiation and subsequent implementation of planned activities and outputs.</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CO Programme Officer: Please include specific measures to manage the project's implementation performance</w:t>
            </w:r>
          </w:p>
          <w:p>
            <w:pPr/>
            <w:r>
              <w:rPr>
                <w:b w:val="1"/>
                <w:bCs w:val="1"/>
              </w:rPr>
              <w:t xml:space="preserve"/>
            </w:r>
          </w:p>
          <w:p>
            <w:pPr/>
            <w:r>
              <w:rPr>
                <w:b w:val="1"/>
                <w:bCs w:val="1"/>
              </w:rPr>
              <w:t xml:space="preserve"/>
            </w:r>
          </w:p>
        </w:tc>
      </w:tr>
      <w:tr>
        <w:trPr/>
        <w:tc>
          <w:tcPr>
            <w:tcW w:w="10000" w:type="dxa"/>
            <w:gridSpan w:val="1"/>
            <w:noWrap/>
          </w:tcPr>
          <w:p>
            <w:pPr/>
            <w:r>
              <w:rPr/>
              <w:t xml:space="preserve">During the reporting period (10 October 2024 – 30 June 2025), the project experienced delays in initiating activities due to technical issues with the QUANTUM system. The absence of guidance for creating a new award and project caused several months of implementation lag. Despite these challenges, the project successfully launched foundational activities, including stakeholder consultations, baseline data collection, pasture mapping, and contracting technical partners for FMIS and biodiversity monitoring. These steps are essential precursors to achieving the project’s biodiversity and ecosystem service targets.</w:t>
            </w:r>
          </w:p>
          <w:p>
            <w:pPr/>
            <w:r>
              <w:rPr/>
              <w:t xml:space="preserve"/>
            </w:r>
          </w:p>
          <w:p>
            <w:pPr/>
            <w:r>
              <w:rPr/>
              <w:t xml:space="preserve">Specific measures to manage implementation performance:</w:t>
            </w:r>
          </w:p>
          <w:p>
            <w:pPr/>
            <w:r>
              <w:rPr/>
              <w:t xml:space="preserve">- Establish proactive collaboration with UNDP operations to resolve system-related issues.</w:t>
            </w:r>
          </w:p>
          <w:p>
            <w:pPr/>
            <w:r>
              <w:rPr/>
              <w:t xml:space="preserve">- Restructure implementation timelines to recover delays and ensure prioritization of Year 2 outputs.</w:t>
            </w:r>
          </w:p>
          <w:p>
            <w:pPr/>
            <w:r>
              <w:rPr/>
              <w:t xml:space="preserve">- Increase frequency of coordination meetings with Responsible Parties and national partners.</w:t>
            </w:r>
          </w:p>
          <w:p>
            <w:pPr/>
            <w:r>
              <w:rPr/>
              <w:t xml:space="preserve">- Apply adaptive management and flexible procurement to streamline implementation moving forward.</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BPPS RTA: Please include specific measures to manage the project's implementation performance.</w:t>
            </w:r>
          </w:p>
        </w:tc>
      </w:tr>
      <w:tr>
        <w:trPr/>
        <w:tc>
          <w:tcPr>
            <w:tcW w:w="10000" w:type="dxa"/>
            <w:gridSpan w:val="1"/>
            <w:noWrap/>
          </w:tcPr>
          <w:p>
            <w:pPr/>
            <w:r>
              <w:rPr/>
              <w:t xml:space="preserve">-to lift implementation performance over the next reporting period, the project team, Country Office, and responsible partners should move to a steady operational rhythm. Hold a short monthly delivery review where progress against the annual work plan is checked, slippage is identified early, and decisions are recorded with clear owners and dates. Underpin this with a single joint, dated workplan shared by the PMU, Snow Leopard Trust and CAMP Ala-Too, showing “who does what by when” and kept current through a brief weekly coordination call. Give each outcome a named operations focal point responsible for timelines, documents, and quick problem-solving so that questions are resolved once and communicated to everyone.</w:t>
            </w:r>
          </w:p>
          <w:p>
            <w:pPr/>
            <w:r>
              <w:rPr/>
              <w:t xml:space="preserve"/>
            </w:r>
          </w:p>
          <w:p>
            <w:pPr/>
            <w:r>
              <w:rPr/>
              <w:t xml:space="preserve">-Procurement and field logistics should be organized around the seasons. Group purchases into quarterly bundles—seedlings, fencing, tools, site works, and transport—and time them to planting and grazing windows, with early market checks to confirm availability</w:t>
            </w:r>
          </w:p>
          <w:p>
            <w:pPr/>
            <w:r>
              <w:rPr/>
              <w:t xml:space="preserve"/>
            </w:r>
          </w:p>
          <w:p>
            <w:pPr/>
            <w:r>
              <w:rPr/>
              <w:t xml:space="preserve">-Before mdeploying field works, bring environmental and social screening forward and devise  mitigation measures.</w:t>
            </w:r>
          </w:p>
          <w:p>
            <w:pPr/>
            <w:r>
              <w:rPr/>
              <w:t xml:space="preserve"/>
            </w:r>
          </w:p>
          <w:p>
            <w:pPr/>
            <w:r>
              <w:rPr/>
              <w:t xml:space="preserve">-Standardize how data are collected and shared: agree simple templates for SMART, camera-trap, and GIS files; define metadata and file-naming; and use a shared repository with version control so partners work from the same source</w:t>
            </w:r>
          </w:p>
        </w:tc>
      </w:tr>
    </w:tbl>
    <w:p>
      <w:pPr>
        <w:sectPr>
          <w:pgSz w:orient="portrait" w:w="11905.511811023622" w:h="16837.79527559055"/>
          <w:pgMar w:top="1440" w:right="1440" w:bottom="1440" w:left="1440" w:header="720" w:footer="720" w:gutter="0"/>
          <w:cols w:num="1" w:space="720"/>
        </w:sectPr>
      </w:pPr>
    </w:p>
    <w:p>
      <w:pPr>
        <w:pStyle w:val="Heading1"/>
      </w:pPr>
      <w:bookmarkStart w:id="14" w:name="_Toc14"/>
      <w:r>
        <w:t>Project Governance</w:t>
      </w:r>
      <w:bookmarkEnd w:id="14"/>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enter the dates of Project Board meetings during the reporting period (1 July 2024 to 30 June 2025)</w:t>
            </w:r>
          </w:p>
        </w:tc>
      </w:tr>
      <w:tr>
        <w:trPr/>
        <w:tc>
          <w:tcPr>
            <w:tcW w:w="10000" w:type="dxa"/>
            <w:gridSpan w:val="1"/>
            <w:noWrap/>
          </w:tcPr>
          <w:p>
            <w:pPr/>
            <w:r>
              <w:rPr/>
              <w:t xml:space="preserve">2024-12-19</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
            </w:r>
          </w:p>
        </w:tc>
      </w:tr>
      <w:tr>
        <w:trPr/>
        <w:tc>
          <w:tcPr>
            <w:tcW w:w="10000" w:type="dxa"/>
            <w:noWrap/>
          </w:tcPr>
          <w:p>
            <w:pPr>
              <w:spacing w:before="0" w:after="0"/>
            </w:pPr>
            <w:r>
              <w:rPr/>
              <w:t xml:space="preserve">Signed_Pamir-Alai_Project_Board_First Meeting_Dec 2024.pdf</w:t>
            </w:r>
          </w:p>
          <w:p>
            <w:pPr/>
          </w:p>
        </w:tc>
      </w:tr>
    </w:tbl>
    <w:p>
      <w:pPr>
        <w:pStyle w:val="Heading2"/>
      </w:pPr>
      <w:bookmarkStart w:id="15" w:name="_Toc15"/>
      <w:r>
        <w:t>Project governance questions</w:t>
      </w:r>
      <w:bookmarkEnd w:id="15"/>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Has project oversight been exercised effectively via the Project Board meetings during this reporting period?</w:t>
            </w:r>
          </w:p>
        </w:tc>
      </w:tr>
      <w:tr>
        <w:trPr/>
        <w:tc>
          <w:tcPr>
            <w:tcW w:w="10000" w:type="dxa"/>
            <w:gridSpan w:val="1"/>
            <w:noWrap/>
          </w:tcPr>
          <w:p>
            <w:pPr/>
            <w:r>
              <w:rPr/>
              <w:t xml:space="preserve">Yes</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Please briefly expand on your response.</w:t>
            </w:r>
          </w:p>
        </w:tc>
      </w:tr>
      <w:tr>
        <w:trPr/>
        <w:tc>
          <w:tcPr>
            <w:tcW w:w="10000" w:type="dxa"/>
            <w:gridSpan w:val="1"/>
            <w:noWrap/>
          </w:tcPr>
          <w:p>
            <w:pPr/>
            <w:r>
              <w:rPr/>
              <w:t xml:space="preserve">Yes, project oversight has been effectively exercised via the Project Board during this reporting period. The inaugural Project Board meeting, held in December 2024, successfully fulfilled its governance role by reviewing the project's inception phase, endorsing key implementation strategies, and confirming roles and responsibilities among stakeholders. The meeting approved the project's annual work plan and budget, confirmed alignment with GEF and national priorities, and addressed coordination mechanisms. The discussions reflected active engagement from all members and reinforced joint accountability, demonstrating a strong foundation for continued oversight and strategic guidance</w:t>
            </w:r>
          </w:p>
        </w:tc>
      </w:tr>
    </w:tbl>
    <w:p>
      <w:pPr>
        <w:sectPr>
          <w:pgSz w:orient="portrait" w:w="11905.511811023622" w:h="16837.79527559055"/>
          <w:pgMar w:top="1440" w:right="1440" w:bottom="1440" w:left="1440" w:header="720" w:footer="720" w:gutter="0"/>
          <w:cols w:num="1" w:space="720"/>
        </w:sectPr>
      </w:pPr>
    </w:p>
    <w:p>
      <w:pPr>
        <w:pStyle w:val="Heading1"/>
      </w:pPr>
      <w:bookmarkStart w:id="16" w:name="_Toc16"/>
      <w:r>
        <w:t>Ratings and Overall Assessments</w:t>
      </w:r>
      <w:bookmarkEnd w:id="16"/>
    </w:p>
    <w:tbl>
      <w:tblGrid>
        <w:gridCol w:w="5000" w:type="dxa"/>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5000" w:type="dxa"/>
            <w:gridSpan w:val="1"/>
            <w:noWrap/>
          </w:tcPr>
          <w:p>
            <w:pPr/>
            <w:r>
              <w:rPr>
                <w:b w:val="1"/>
                <w:bCs w:val="1"/>
              </w:rPr>
              <w:t xml:space="preserve">2025 Development Objective Progress Rating</w:t>
            </w:r>
          </w:p>
        </w:tc>
        <w:tc>
          <w:tcPr>
            <w:tcW w:w="5000" w:type="dxa"/>
            <w:gridSpan w:val="1"/>
            <w:noWrap/>
          </w:tcPr>
          <w:p>
            <w:pPr/>
            <w:r>
              <w:rPr>
                <w:b w:val="1"/>
                <w:bCs w:val="1"/>
              </w:rPr>
              <w:t xml:space="preserve">2025 Implementation Progress Rating</w:t>
            </w:r>
          </w:p>
        </w:tc>
      </w:tr>
      <w:tr>
        <w:trPr/>
        <w:tc>
          <w:tcPr>
            <w:tcW w:w="5000" w:type="dxa"/>
            <w:gridSpan w:val="1"/>
            <w:noWrap/>
          </w:tcPr>
          <w:p>
            <w:pPr/>
            <w:r>
              <w:rPr>
                <w:b w:val="1"/>
                <w:bCs w:val="1"/>
              </w:rPr>
              <w:t xml:space="preserve">UNDP BPPS Technical Advisor</w:t>
            </w:r>
          </w:p>
        </w:tc>
        <w:tc>
          <w:tcPr>
            <w:tcW w:w="5000" w:type="dxa"/>
            <w:gridSpan w:val="1"/>
            <w:noWrap/>
          </w:tcPr>
          <w:p>
            <w:pPr/>
            <w:r>
              <w:rPr/>
              <w:t xml:space="preserve">Moderately Satisfactory</w:t>
            </w:r>
          </w:p>
        </w:tc>
        <w:tc>
          <w:tcPr>
            <w:tcW w:w="5000" w:type="dxa"/>
            <w:gridSpan w:val="1"/>
            <w:noWrap/>
          </w:tcPr>
          <w:p>
            <w:pPr/>
            <w:r>
              <w:rPr/>
              <w:t xml:space="preserve">Moderately Satisfactory</w:t>
            </w:r>
          </w:p>
        </w:tc>
      </w:tr>
    </w:tbl>
    <w:p>
      <w:pPr/>
      <w:r>
        <w:rPr/>
        <w:t xml:space="preserve"/>
      </w:r>
    </w:p>
    <w:tbl>
      <w:tblGrid>
        <w:gridCol w:w="5000" w:type="dxa"/>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10000" w:type="dxa"/>
            <w:gridSpan w:val="1"/>
            <w:noWrap/>
          </w:tcPr>
          <w:p>
            <w:pPr/>
            <w:r>
              <w:rPr>
                <w:b w:val="1"/>
                <w:bCs w:val="1"/>
              </w:rPr>
              <w:t xml:space="preserve">2025 Overall Assessment</w:t>
            </w:r>
          </w:p>
        </w:tc>
      </w:tr>
      <w:tr>
        <w:trPr/>
        <w:tc>
          <w:tcPr>
            <w:tcW w:w="5000" w:type="dxa"/>
            <w:gridSpan w:val="1"/>
            <w:noWrap/>
          </w:tcPr>
          <w:p>
            <w:pPr/>
            <w:r>
              <w:rPr>
                <w:b w:val="1"/>
                <w:bCs w:val="1"/>
              </w:rPr>
              <w:t xml:space="preserve">UNDP BPPS Technical Advisor</w:t>
            </w:r>
          </w:p>
        </w:tc>
        <w:tc>
          <w:tcPr>
            <w:tcW w:w="10000" w:type="dxa"/>
            <w:gridSpan w:val="1"/>
            <w:noWrap/>
          </w:tcPr>
          <w:p>
            <w:pPr/>
            <w:r>
              <w:rPr/>
              <w:t xml:space="preserve"/>
            </w:r>
          </w:p>
          <w:p>
            <w:pPr/>
            <w:r>
              <w:rPr/>
              <w:t xml:space="preserve">DO Rating Moderately Satisfactory (MS)</w:t>
            </w:r>
          </w:p>
          <w:p>
            <w:pPr/>
            <w:r>
              <w:rPr/>
              <w:t xml:space="preserve">Clarification:  The project is on track to achieve its end-of-project targets by closure, with core enablers already in place (PA gazettement process, SMART/PA readiness, pasture monitoring and e-Jaiyt groundwork, HCVF mapping, ecotourism and community-conservancy baselines, gender systems). However, several area-based and livelihood results are not yet realized (corridor hectares, restoration/SLM adoption, tourism revenues, community-managed hectares, GHGs). In line with the MS definition, these minor but time-sensitive challenges can be addressed if an adaptive management plan is  applied to fast-track gazettement, climate-robust restoration packages, and behavior change via e-Jaiyt.</w:t>
            </w:r>
          </w:p>
          <w:p>
            <w:pPr/>
            <w:r>
              <w:rPr/>
              <w:t xml:space="preserve"/>
            </w:r>
          </w:p>
          <w:p>
            <w:pPr/>
            <w:r>
              <w:rPr/>
              <w:t xml:space="preserve">Objective level progress</w:t>
            </w:r>
          </w:p>
          <w:p>
            <w:pPr/>
            <w:r>
              <w:rPr/>
              <w:t xml:space="preserve"/>
            </w:r>
          </w:p>
          <w:p>
            <w:pPr/>
            <w:r>
              <w:rPr/>
              <w:t xml:space="preserve">The progress towards  Project Objective is tracked by three indicators and  implementation is on track. Workstreams contributing to improved landscape management are underway across protected areas, forest leskhozes, community pastures, and planned wildlife corridors, coordinated with MNRETS and key partners; these actions establish the foundations for later area-based results [Indicator 1]. Capacity strengthening has begun at scale: more than 162 forestry staff from ten project leskhozes are being supported through a structured learning program and FMIS enhancement pathway (ToR prepared and coordination with the Ministry of Digital Development initiated), aligning with future reporting against gender-disaggregated beneficiary counts [Indicator 2]. Biodiversity baseline collection has started: responsible partners launched data collection for key flora and fauna of the Pamir-Alai (camera traps and image analysis workflows for ungulates/predators, along with herbarium and vegetation inputs), setting up the monitoring architecture that will underpin later status/trend reporting [Indicator 3].</w:t>
            </w:r>
          </w:p>
          <w:p>
            <w:pPr/>
            <w:r>
              <w:rPr/>
              <w:t xml:space="preserve"/>
            </w:r>
          </w:p>
          <w:p>
            <w:pPr/>
            <w:r>
              <w:rPr/>
              <w:t xml:space="preserve">Progress across outcomes</w:t>
            </w:r>
          </w:p>
          <w:p>
            <w:pPr/>
            <w:r>
              <w:rPr/>
              <w:t xml:space="preserve"/>
            </w:r>
          </w:p>
          <w:p>
            <w:pPr/>
            <w:r>
              <w:rPr/>
              <w:t xml:space="preserve">Outcome 1 — Ecosystem services &amp; sustainable livelihoods in the wider landscape</w:t>
            </w:r>
          </w:p>
          <w:p>
            <w:pPr/>
            <w:r>
              <w:rPr/>
              <w:t xml:space="preserve">Work toward area-based outcomes is progressing in measured steps. The corridor-related area under improved biodiversity management has not started yet and will follow upstream legal and planning work [Indicator 4]. Sustainable pasture management advanced: monitoring points were established across priority Aiyl Aimaks in Batken and Osh, and the technical groundwork for the electronic pasture management system (e-Jaiyt) is in motion—together covering a baseline footprint of ~621,905 ha where adaptive management can now be tracked [Indicator  5]. Degraded pastureland restoration is not yet started and is scheduled for later periods [Indicator 6]. High Conservation Value Forest (HCVF) work initiated, with mapping and contracting steps launched through the responsible partner to prepare for improved management measures [Indicator 7]. Forest restoration is framed by a comprehensive scoping of operational constraints (nursery stock, fencing, irrigation, grazing pressure, heat/drought exposure); these insights are being translated into implementation-ready packages, but restoration activities themselves are not yet reported [Indicator 8].</w:t>
            </w:r>
          </w:p>
          <w:p>
            <w:pPr/>
            <w:r>
              <w:rPr/>
              <w:t xml:space="preserve">Linked national LDN indicators progressed unevenly: pasture condition monitoring is established and producing first assessments [Indicator 9.i]; access to mountain pastures is not yet reported as activities are scheduled later [9.ii]; hectares under SLM adopted are likewise not yet reported at this early stage [9.iii]; and hectares of land with improved conditions are being enabled through the e-Jaiyt design work, with the technical assessment completed and ToR finalization supported to move into roll-out [9.iv].</w:t>
            </w:r>
          </w:p>
          <w:p>
            <w:pPr/>
            <w:r>
              <w:rPr/>
              <w:t xml:space="preserve"/>
            </w:r>
          </w:p>
          <w:p>
            <w:pPr/>
            <w:r>
              <w:rPr/>
              <w:t xml:space="preserve">Outcome 2 — Sustainability of critical Pamir-Alai mountain ecosystems</w:t>
            </w:r>
          </w:p>
          <w:p>
            <w:pPr/>
            <w:r>
              <w:rPr/>
              <w:t xml:space="preserve">The protected area track is on track. For new PAs (~Chon-Alai, Arka, Arpa, Aigul-Tash) the team is working with MNRETS to prepare the full establishment package (ecological, legal, and socio-economic justifications), with national and local consultants mobilized and source materials under review to advance gazettement steps [Indicator 10]. In existing PAs, the focus is on management effectiveness: procurement has been streamlined by consolidating multiple local consultancy packages into a single RFP, and preparatory actions with PA administrations and communities are underway to support a credible METT lift in subsequent periods [Indicator 11].</w:t>
            </w:r>
          </w:p>
          <w:p>
            <w:pPr/>
            <w:r>
              <w:rPr/>
              <w:t xml:space="preserve">Nature-based tourism work also shows early traction. A desk study has produced a draft methodology and questionnaire to structure household-level income tracking from tourism and to define a robust approach for valuing nature-based products and experiences [Indicator 12]. Incremental PA revenue from tourism is not yet reported (activities scheduled later) [Indicator 13]. A structured awareness and attitudes survey is being fielded in the Alai Valley (target: 355 households, 10% sampling) to capture baseline understanding of biodiversity, land-use trade-offs, climate risks, and perceptions of the proposed PAs [Indicator 14]. Preparations for community conservancies are in motion: on-the-ground activities are being organized in Bek-Tosot and Janaidar (Osh), with the Snow Leopard Foundation Kyrgyzstan contracted by the responsible partner to facilitate the model and associated livelihood/tourism functions [Indicator 15]. The area under improved community-based conservation has not yet been launched and will follow these enabling steps [Indicator 16].</w:t>
            </w:r>
          </w:p>
          <w:p>
            <w:pPr/>
            <w:r>
              <w:rPr/>
              <w:t xml:space="preserve"/>
            </w:r>
          </w:p>
          <w:p>
            <w:pPr/>
            <w:r>
              <w:rPr/>
              <w:t xml:space="preserve">Outcome 3 — Cooperation &amp; knowledge for LDN and biodiversity</w:t>
            </w:r>
          </w:p>
          <w:p>
            <w:pPr/>
            <w:r>
              <w:rPr/>
              <w:t xml:space="preserve">Knowledge and cooperation outputs are on track. The project supported the GSLEP Steering Committee Meeting hosted in Kyrgyzstan, advancing a shared agenda on conservation finance and climate adaptation in high mountain regions; these proceedings feed into the project’s case-study pipeline and future transboundary protected area dialogue for the Pamir-Alai [Indicator 17]. Training delivery in biodiversity conservation and integrated land management is scheduled; while no participant counts are reported yet, the training program is being organized and queued for the next implementation window [Indicator 18].</w:t>
            </w:r>
          </w:p>
          <w:p>
            <w:pPr/>
            <w:r>
              <w:rPr/>
              <w:t xml:space="preserve"/>
            </w:r>
          </w:p>
          <w:p>
            <w:pPr/>
            <w:r>
              <w:rPr/>
              <w:t xml:space="preserve">Outcome 4 — Accountable, transparent implementation &amp; documentation</w:t>
            </w:r>
          </w:p>
          <w:p>
            <w:pPr/>
            <w:r>
              <w:rPr/>
              <w:t xml:space="preserve">For M&amp;E milestones, the narrative column carries no cumulative update yet. Required activities (e.g., MTR scheduling, reporting tools, management response) remain to be recorded against this indicator as implementation reaches those steps [Indicator 19].</w:t>
            </w:r>
          </w:p>
          <w:p>
            <w:pPr/>
            <w:r>
              <w:rPr/>
              <w:t xml:space="preserve">Outcome 5 — Cross-cutting gender mainstreaming</w:t>
            </w:r>
          </w:p>
          <w:p>
            <w:pPr/>
            <w:r>
              <w:rPr/>
              <w:t xml:space="preserve">Gender mainstreaming is consistent with plans (GAP) . Evidence to date shows (i) inclusive governance processes—e.g., Project Board/working sessions in Bishkek with ~33% female participation; (ii) an approved Gender Work Plan and gender training for MNRETS, Forest Service, and responsible partners; (iii) gender-responsive budgeting embedded in the AWP; and (iv) gender-disaggregated indicators integrated for annual reporting. These measures provide the institutional basis for tracking women’s participation and benefits as field activities scale [20].</w:t>
            </w:r>
          </w:p>
          <w:p>
            <w:pPr/>
            <w:r>
              <w:rPr/>
              <w:t xml:space="preserve"/>
            </w:r>
          </w:p>
          <w:p>
            <w:pPr/>
            <w:r>
              <w:rPr/>
              <w:t xml:space="preserve">Outcome 6 — Cross-cutting climate-mitigation co-benefits</w:t>
            </w:r>
          </w:p>
          <w:p>
            <w:pPr/>
            <w:r>
              <w:rPr/>
              <w:t xml:space="preserve">No cumulative GHG results are reported at this early stage; project activities are not yet at the point where avoided/sequestered emissions can be credited. This indicator will populate once restoration, SLM adoption, and PA effectiveness measures begin yielding quantifiable carbon outcomes [Indicator 21].</w:t>
            </w:r>
          </w:p>
          <w:p>
            <w:pPr/>
            <w:r>
              <w:rPr/>
              <w:t xml:space="preserve"/>
            </w:r>
          </w:p>
          <w:p>
            <w:pPr/>
            <w:r>
              <w:rPr/>
              <w:t xml:space="preserve">IP</w:t>
            </w:r>
          </w:p>
          <w:p>
            <w:pPr/>
            <w:r>
              <w:rPr/>
              <w:t xml:space="preserve"/>
            </w:r>
          </w:p>
          <w:p>
            <w:pPr/>
            <w:r>
              <w:rPr/>
              <w:t xml:space="preserve">IP rating Moderately Satisfactory (MS)</w:t>
            </w:r>
          </w:p>
          <w:p>
            <w:pPr/>
            <w:r>
              <w:rPr/>
              <w:t xml:space="preserve">Clarification. IP is MS due to late operational start and system (Quantum) onboarding delays that hampered  early delivery, but the team nonetheless set up governance, mobilized partners, advanced PA/legal prep, launched key procurements (SMART, vehicles), and progressed baselines (pasture monitoring, ecotourism, HCVF mapping). Procurement challenges were not flagged by CO for this period; project oversight via PB was effective. Acceleration is realistic in the next reporting period, moving towards S rating, with proactive operations support and tight milestone management</w:t>
            </w:r>
          </w:p>
          <w:p>
            <w:pPr/>
            <w:r>
              <w:rPr/>
              <w:t xml:space="preserve"/>
            </w:r>
          </w:p>
          <w:p>
            <w:pPr/>
            <w:r>
              <w:rPr/>
              <w:t xml:space="preserve">IP narrative</w:t>
            </w:r>
          </w:p>
          <w:p>
            <w:pPr/>
            <w:r>
              <w:rPr/>
              <w:t xml:space="preserve"/>
            </w:r>
          </w:p>
          <w:p>
            <w:pPr/>
            <w:r>
              <w:rPr/>
              <w:t xml:space="preserve">Following Project Document signature on 27 November 2023, the team convened the Inception Workshop on 28 February 2024, preceded by an inception mission across Batken and Osh (25 Feb–2 Mar) that engaged national and local authorities, women’s groups, NGOs, and other stakeholders. First disbursement was effected on 1 October 2024, enabling early operationalization, and the first Project Board met on 19 December 2024 to endorse the AWP/budget and establish an effective oversight cadence for Year-1 implementation.</w:t>
            </w:r>
          </w:p>
          <w:p>
            <w:pPr/>
            <w:r>
              <w:rPr/>
              <w:t xml:space="preserve"/>
            </w:r>
          </w:p>
          <w:p>
            <w:pPr/>
            <w:r>
              <w:rPr/>
              <w:t xml:space="preserve">Delivery to date and causes of delay</w:t>
            </w:r>
          </w:p>
          <w:p>
            <w:pPr/>
            <w:r>
              <w:rPr/>
              <w:t xml:space="preserve"/>
            </w:r>
          </w:p>
          <w:p>
            <w:pPr/>
            <w:r>
              <w:rPr/>
              <w:t xml:space="preserve">By 30 June 2025, cumulative delivery reached 3.16% of the ProDoc total (or 4.97% versus expected), corresponding to US$83,328 disbursed (with Q2 books still provisional). The main drag was technical onboarding to Quantum—specifically, guidance gaps around new award/project creation—which slowed expenditure against the planned ramp-up. To recover time, the team tightened operations coordination, rephased timelines, consolidated TORs and staffing (including a company-level RFP for PA work), and launched early procurements to unblock field operations.</w:t>
            </w:r>
          </w:p>
          <w:p>
            <w:pPr/>
            <w:r>
              <w:rPr/>
              <w:t xml:space="preserve"/>
            </w:r>
          </w:p>
          <w:p>
            <w:pPr/>
            <w:r>
              <w:rPr/>
              <w:t xml:space="preserve">Adaptive procurement measures—most notably consolidating multiple consultancies into a single company RFP for PA deliverables and bundling vehicles under co-financing—have reduced transaction friction and clarified accountability. In parallel, the team has translated early risk sensing into design choices: restoration constraints (livestock pressure, irrigation scarcity, heatwaves) are now informing site selection and works planning for  the next reporting period while SMART provisioning in PAs underpins a structured plan for METT uplift. These adjustments demonstrate an iterative, evidence-led approach to keeping the program trajectory on track despite a late operational start.</w:t>
            </w:r>
          </w:p>
          <w:p>
            <w:pPr/>
            <w:r>
              <w:rPr/>
              <w:t xml:space="preserve"/>
            </w:r>
          </w:p>
          <w:p>
            <w:pPr/>
            <w:r>
              <w:rPr/>
              <w:t xml:space="preserve">Co-financing</w:t>
            </w:r>
          </w:p>
          <w:p>
            <w:pPr/>
            <w:r>
              <w:rPr/>
              <w:t xml:space="preserve">Realized co-financing stands at US$1,815,537 (~9%), comprising MNRETS in-kind US$1,474,537, CAMP Ala-Too grant US$250,000, SLT in-kind US$61,000, and UNDP TRAC US$30,000. The pipeline for investment co-financing remains on track, with TRAC resources already supporting mobility (vehicles).</w:t>
            </w:r>
          </w:p>
          <w:p>
            <w:pPr/>
            <w:r>
              <w:rPr/>
              <w:t xml:space="preserve"/>
            </w:r>
          </w:p>
          <w:p>
            <w:pPr/>
            <w:r>
              <w:rPr/>
              <w:t xml:space="preserve">Stakeholder engagement and partnerships</w:t>
            </w:r>
          </w:p>
          <w:p>
            <w:pPr/>
            <w:r>
              <w:rPr/>
              <w:t xml:space="preserve">The Stakeholder Engagement Plan was revised in June 2025, codifying inclusive processes with government entities, Aiyl Aimaks, communities, NGOs, and private actors; participation to date reflects a ~30% baseline for women and youth. Inception and field engagements have secured broad support for new PAs, sustainable forest/pasture management, biodiversity monitoring, and nature-based tourism.</w:t>
            </w:r>
          </w:p>
          <w:p>
            <w:pPr/>
            <w:r>
              <w:rPr/>
              <w:t xml:space="preserve"/>
            </w:r>
          </w:p>
          <w:p>
            <w:pPr/>
            <w:r>
              <w:rPr/>
              <w:t xml:space="preserve">Safeguards (SES) and risk monitoring</w:t>
            </w:r>
          </w:p>
          <w:p>
            <w:pPr/>
            <w:r>
              <w:rPr/>
              <w:t xml:space="preserve">Safeguards remain proportionate to the current stage: the SESP is still relevant; the SEP was updated (June 2025); and the ESMF is scheduled to precede reforestation and monitoring operations. No ESIAs/ESMPs are required yet, and the GRM is not applicable at this stage. Overall risk is Low, with watch-areas around seasonal scheduling and multi-agency dependencies; plantation viability in the face of livestock pressure, irrigation constraints, and heatwaves; and data continuity for corridor design. I advise to   bring the ESMF forward in the AWP so restoration packages, corridor works, and e-Jaiyt roll-out are screened before field deployment; maintain a risk-to-action table updated quarterly, with meeting minutes and evidence (CAMP–Forest Service technical notes, PB/RP minutes) hyperlinked to each risk.</w:t>
            </w:r>
          </w:p>
          <w:p>
            <w:pPr/>
            <w:r>
              <w:rPr/>
              <w:t xml:space="preserve"/>
            </w:r>
          </w:p>
          <w:p>
            <w:pPr/>
            <w:r>
              <w:rPr/>
              <w:t xml:space="preserve">Procurement performance</w:t>
            </w:r>
          </w:p>
          <w:p>
            <w:pPr/>
            <w:r>
              <w:rPr/>
              <w:t xml:space="preserve">The CO reported no procurement challenges in 2024–25. Consolidated TORs and timely vehicle procurement are good practices to retain, complemented by early market sounding for seasonal inputs (seedlings, fencing, logistics). I’m advising to  align the procurement calendar to grazing/planting windows and snow-closure periods, ensuring goods and contractors are in place ahead of narrow operational windows.</w:t>
            </w:r>
          </w:p>
          <w:p>
            <w:pPr/>
            <w:r>
              <w:rPr/>
              <w:t xml:space="preserve"/>
            </w:r>
          </w:p>
          <w:p>
            <w:pPr/>
            <w:r>
              <w:rPr/>
              <w:t xml:space="preserve"/>
            </w:r>
          </w:p>
          <w:p>
            <w:pPr/>
            <w:r>
              <w:rPr/>
              <w:t xml:space="preserve"/>
            </w:r>
          </w:p>
          <w:p>
            <w:pPr/>
            <w:r>
              <w:rPr/>
              <w:t xml:space="preserve">----</w:t>
            </w:r>
          </w:p>
          <w:p>
            <w:pPr/>
            <w:r>
              <w:rPr/>
              <w:t xml:space="preserve"/>
            </w:r>
          </w:p>
          <w:p>
            <w:pPr/>
            <w:r>
              <w:rPr/>
              <w:t xml:space="preserve"/>
            </w:r>
          </w:p>
          <w:p>
            <w:pPr/>
            <w:r>
              <w:rPr/>
              <w:t xml:space="preserve">Challenges to DO</w:t>
            </w:r>
          </w:p>
          <w:p>
            <w:pPr/>
            <w:r>
              <w:rPr/>
              <w:t xml:space="preserve">The ccritical path to gazette four new protected areas remains time-sensitive. Multiple ministerial reviews, boundary justifications, and consultations must land on schedule;</w:t>
            </w:r>
          </w:p>
          <w:p>
            <w:pPr/>
            <w:r>
              <w:rPr/>
              <w:t xml:space="preserve">Field viability of restoration and SLM adoption is exposed to climate and operational stressors. Livestock browsing, water scarcity for young plantings, and more frequent heatwaves raise mortality risks and could erode hectare achievements if fencing, watering/soil-moisture solutions, and seed provenance/quality are not locked in. Pasture SLM hinges on behavior change: the e-Jaiyt system must move to implementing  real-world decisions (seasonal closures, stocking rates, sanctions/incentives) at Aiyl Aimak level; otherwise, monitoring won’t translate into improved conditions.</w:t>
            </w:r>
          </w:p>
          <w:p>
            <w:pPr/>
            <w:r>
              <w:rPr/>
              <w:t xml:space="preserve">Evidence architecture—biodiversity baselines, LDN metrics, SMART/camera-trap data, and GHG MRV—must mature quickly in order to make claims on “area under improved management,” avoided degradation, and carbon co-benefits. And time pressure is real. Next steps to correct course: and recover delays: many area-based outcomes (corridors, restoration, community-managed hectares, GHG benefits) remain feasible, but only if gazettement steps, climate-robust restoration packages, and e-Jaiyt enforcement are executed at an alert pace.</w:t>
            </w:r>
          </w:p>
          <w:p>
            <w:pPr/>
            <w:r>
              <w:rPr/>
              <w:t xml:space="preserve"/>
            </w:r>
          </w:p>
          <w:p>
            <w:pPr/>
            <w:r>
              <w:rPr/>
              <w:t xml:space="preserve">Challenges to Implementation Progress (IP)</w:t>
            </w:r>
          </w:p>
          <w:p>
            <w:pPr/>
            <w:r>
              <w:rPr/>
              <w:t xml:space="preserve">The initial  systems onboarding (Quantum) and related internal guidance gaps, has slowed budget activation and expenditure against the Year-1 plan. This coincided with the natural complexity of a multi-agency program: Responsible Partner execution (Snow Leopard Trust and CAMP Ala-Too) required timing to align scopes, data standards, procurement rules, and community calendars.</w:t>
            </w:r>
          </w:p>
          <w:p>
            <w:pPr/>
            <w:r>
              <w:rPr/>
              <w:t xml:space="preserve">Procurement bottlenecks:  Fragmented micro-purchases (seedlings, fencing, field gear) and co-financed items (e.g., vehicles) created multiple review loops. In addition,  terrain and seasonality—remote, high-altitude sites, winter closures-  and permit dependencies (border/PA access, joint missions)  were making any administrative delay impacting the delivery and implementation pace.</w:t>
            </w:r>
          </w:p>
          <w:p>
            <w:pPr/>
            <w:r>
              <w:rPr/>
              <w:t xml:space="preserve">On the management side, PMU coordination was stretched by dispersed partners and start-up demands.  Safeguards and M&amp;E sequencing also require attention: the ESMF must be brought forward so restoration and corridor activities are screened before mobilization; PIR evidence and learning notes should be compiled continuously rather than retrospectively. Finally, communications and knowledge: proceedings from major convenings (e.g., GSLEP) must be turned into publishable products and actionable domestic tasks; otherwise, knowledge gains won’t translate into implementation advantages.</w:t>
            </w:r>
          </w:p>
          <w:p>
            <w:pPr/>
            <w:r>
              <w:rPr/>
              <w:t xml:space="preserve">These IP challenges are solvable with disciplined operations: a weekly RP calendar and a monthly delivery meeting ;   bundled quarterly procurements timed to grazing/planting windows, early permit pipelines for reviews and payments. Aligning procurement and logistics to seasonality will protect scarce field windows. With these adjustments, the project can convert a slow start into a credible next reporting year acceleration and restore trajectory toward midterm targets.</w:t>
            </w:r>
          </w:p>
          <w:p>
            <w:pPr/>
            <w:r>
              <w:rPr/>
              <w:t xml:space="preserve"/>
            </w:r>
          </w:p>
          <w:p>
            <w:pPr/>
            <w:r>
              <w:rPr/>
              <w:t xml:space="preserve"/>
            </w:r>
          </w:p>
        </w:tc>
      </w:tr>
      <w:tr>
        <w:trPr/>
        <w:tc>
          <w:tcPr>
            <w:tcW w:w="5000" w:type="dxa"/>
            <w:gridSpan w:val="1"/>
            <w:noWrap/>
          </w:tcPr>
          <w:p>
            <w:pPr/>
            <w:r>
              <w:rPr>
                <w:b w:val="1"/>
                <w:bCs w:val="1"/>
              </w:rPr>
              <w:t xml:space="preserve">UNDP Country Office Programme Officer</w:t>
            </w:r>
          </w:p>
        </w:tc>
        <w:tc>
          <w:tcPr>
            <w:tcW w:w="10000" w:type="dxa"/>
            <w:gridSpan w:val="1"/>
            <w:noWrap/>
          </w:tcPr>
          <w:p>
            <w:pPr/>
            <w:r>
              <w:rPr/>
              <w:t xml:space="preserve">In its first year (July 2024 – June 2025), the project made good progress in setting up the foundations for implementation, even though it started later than planned due to administrative delays. Once these initial issues were resolved, the team was able to move forward with several important activities.</w:t>
            </w:r>
          </w:p>
          <w:p>
            <w:pPr/>
            <w:r>
              <w:rPr/>
              <w:t xml:space="preserve"/>
            </w:r>
          </w:p>
          <w:p>
            <w:pPr/>
            <w:r>
              <w:rPr/>
              <w:t xml:space="preserve">Key achievements included starting ecological and socio-economic surveys in the project regions (Batken, Osh, and Naryn), initiating legal and planning work for four new protected areas, and launching partnerships with key technical organizations like the Snow Leopard Trust and CAMP Alatoo. The project also ensured gender-inclusive participation in consultations and training events, laying the groundwork for community-led resource management.</w:t>
            </w:r>
          </w:p>
          <w:p>
            <w:pPr/>
            <w:r>
              <w:rPr/>
              <w:t xml:space="preserve"/>
            </w:r>
          </w:p>
          <w:p>
            <w:pPr/>
            <w:r>
              <w:rPr/>
              <w:t xml:space="preserve">On co-financing, the project is on track. A total of USD 1,815,537 has been secured, including contributions from government partners (MNRETS), grants from CAMP Alatoo and UNDP TRAC, and in-kind support from SLT. Partner projects contributing to co-financing are up and running, and planned procurements—like vehicles—are progressing as expected.</w:t>
            </w:r>
          </w:p>
          <w:p>
            <w:pPr/>
            <w:r>
              <w:rPr/>
              <w:t xml:space="preserve">By component, the progress can be summarized as follows:</w:t>
            </w:r>
          </w:p>
          <w:p>
            <w:pPr/>
            <w:r>
              <w:rPr/>
              <w:t xml:space="preserve">Component 1: Integrated Landscape Planning and Management for Sustainable and Resilient Livelihoods</w:t>
            </w:r>
          </w:p>
          <w:p>
            <w:pPr/>
            <w:r>
              <w:rPr/>
              <w:t xml:space="preserve">Preparatory work initiated for sustainable pasture management across 621,905 ha, including updated AA boundaries, pasture maps, and monitoring points. Baseline data collection on forests (140,309.5 ha HCVF zones) and restoration sites underway, with nursery sites identified in Alai and Leilek leskhozes. Electronic pasture management system (e-Jaiyt) ToR prepared, and consultations held with the Ministry of Agriculture.</w:t>
            </w:r>
          </w:p>
          <w:p>
            <w:pPr/>
            <w:r>
              <w:rPr/>
              <w:t xml:space="preserve"/>
            </w:r>
          </w:p>
          <w:p>
            <w:pPr/>
            <w:r>
              <w:rPr/>
              <w:t xml:space="preserve">Component 2: Strengthening Key Biodiversity Areas</w:t>
            </w:r>
          </w:p>
          <w:p>
            <w:pPr/>
            <w:r>
              <w:rPr/>
              <w:t xml:space="preserve">Legal and planning processes advanced for four new protected areas (Chon-Alai, Arka, Arpa, Aigul-Tash) covering 281,083.79 ha, with MNRETS Order establishing a working group. Preparatory steps for introducing the SMART system across five existing PAs were taken, including the delivery of 47 smartphones to PA staff for data collection, and baseline socio-economic/ecotourism surveys conducted in Osh, Batken, and Naryn, engaging over 170 community members.</w:t>
            </w:r>
          </w:p>
          <w:p>
            <w:pPr/>
            <w:r>
              <w:rPr/>
              <w:t xml:space="preserve"/>
            </w:r>
          </w:p>
          <w:p>
            <w:pPr/>
            <w:r>
              <w:rPr/>
              <w:t xml:space="preserve">Component 3: Knowledge Management and International Engagement</w:t>
            </w:r>
          </w:p>
          <w:p>
            <w:pPr/>
            <w:r>
              <w:rPr/>
              <w:t xml:space="preserve">The project supported the IX GSLEP Steering Committee Meeting (June 2025, Cholpon-Ata), bringing together 12 snow leopard range countries and resulting in the Cholpon-Ata Resolution. Knowledge products and training are under preparation; gender-sensitive surveys and awareness baseline tools developed. Cross-regional cooperation and partnerships (SLT, CAMP Alatoo, Institute of Biology NAS KR) actively engaged.</w:t>
            </w:r>
          </w:p>
          <w:p>
            <w:pPr/>
            <w:r>
              <w:rPr/>
              <w:t xml:space="preserve"/>
            </w:r>
          </w:p>
          <w:p>
            <w:pPr/>
            <w:r>
              <w:rPr/>
              <w:t xml:space="preserve">Component 4: Project-level Monitoring and Evaluation</w:t>
            </w:r>
          </w:p>
          <w:p>
            <w:pPr/>
            <w:r>
              <w:rPr/>
              <w:t xml:space="preserve">Mid-term review scheduled for May 2026. Gender mainstreaming implemented in project governance and training events, with women comprising 30–42% of participants.</w:t>
            </w:r>
          </w:p>
          <w:p>
            <w:pPr/>
            <w:r>
              <w:rPr/>
              <w:t xml:space="preserve">Given these developments, the project is rated Moderately Satisfactory (MS) for both Development Objective and Implementation Progress. A solid foundation is now in place to speed up activities in the second year.</w:t>
            </w:r>
          </w:p>
          <w:p>
            <w:pPr/>
            <w:r>
              <w:rPr/>
              <w:t xml:space="preserve"/>
            </w:r>
          </w:p>
          <w:p>
            <w:pPr/>
            <w:r>
              <w:rPr/>
              <w:t xml:space="preserve">The main challenge this year was the delay in getting the project officially started due to technical difficulties in the UNDP QUANTUM system. This caused a few months’ delay and limited how much could be done in the early part of the year.</w:t>
            </w:r>
          </w:p>
          <w:p>
            <w:pPr/>
            <w:r>
              <w:rPr/>
              <w:t xml:space="preserve"/>
            </w:r>
          </w:p>
          <w:p>
            <w:pPr/>
            <w:r>
              <w:rPr/>
              <w:t xml:space="preserve">Coordinating activities across three regions also brought some logistical and institutional challenges. However, the project has responded well by adjusting timelines, improving coordination with local partners, and staying flexible with procurement and planning.</w:t>
            </w:r>
          </w:p>
          <w:p>
            <w:pPr/>
            <w:r>
              <w:rPr/>
              <w:t xml:space="preserve"/>
            </w:r>
          </w:p>
          <w:p>
            <w:pPr/>
            <w:r>
              <w:rPr/>
              <w:t xml:space="preserve">Moving forward, the focus will be on accelerating implementation, keeping partners closely engaged, and beginning to show tangible results on the ground.</w:t>
            </w:r>
          </w:p>
        </w:tc>
      </w:tr>
      <w:tr>
        <w:trPr/>
        <w:tc>
          <w:tcPr>
            <w:tcW w:w="5000" w:type="dxa"/>
            <w:gridSpan w:val="1"/>
            <w:noWrap/>
          </w:tcPr>
          <w:p>
            <w:pPr/>
            <w:r>
              <w:rPr>
                <w:b w:val="1"/>
                <w:bCs w:val="1"/>
              </w:rPr>
              <w:t xml:space="preserve">Project Manager/Coordinator</w:t>
            </w:r>
          </w:p>
        </w:tc>
        <w:tc>
          <w:tcPr>
            <w:tcW w:w="10000" w:type="dxa"/>
            <w:gridSpan w:val="1"/>
            <w:noWrap/>
          </w:tcPr>
          <w:p>
            <w:pPr/>
            <w:r>
              <w:rPr/>
              <w:t xml:space="preserve">During the reporting period, the project team focused on building the operational and technical foundations needed for effective delivery. Although the start was delayed due to UNDP QUANTUM system issues, we managed to recover the timeline and initiate several core activities.</w:t>
            </w:r>
          </w:p>
          <w:p>
            <w:pPr/>
            <w:r>
              <w:rPr/>
              <w:t xml:space="preserve">Together with partners, we completed baseline socio-economic and ecological surveys in Batken and Osh and launched data collection in Naryn. The team coordinated the preparation of pasture maps, monitoring points, and consultations in 28 aiyl aimaks, and supported CAMP Alatoo and SLT in mobilizing experts for pasture and forest baselines as well as KBA species assessments.</w:t>
            </w:r>
          </w:p>
          <w:p>
            <w:pPr/>
            <w:r>
              <w:rPr/>
              <w:t xml:space="preserve">Legal and planning work for four new protected areas progressed significantly: MNRETS issued the formal order establishing the working group, and ecological and legal justifications are under preparation. For existing PAs, preparatory steps for the roll-out of the SMART system were taken.</w:t>
            </w:r>
          </w:p>
          <w:p>
            <w:pPr/>
            <w:r>
              <w:rPr/>
              <w:t xml:space="preserve">The project also invested in building strong partnerships — with the Forest Service, the Department of Pastures, the Institute of Biology, CAMP Alatoo, and the Snow Leopard Trust — and ensured inclusive participation of women and local communities in all consultations.</w:t>
            </w:r>
          </w:p>
          <w:p>
            <w:pPr/>
            <w:r>
              <w:rPr/>
              <w:t xml:space="preserve">While the main challenge was the administrative delay at the start, field-level coordination across three oblasts also required adaptive planning. We addressed this through flexible scheduling, closer partner coordination, and early identification of technical needs (e.g. irrigation for nurseries, data integration for FMIS and e-Jaiyt).</w:t>
            </w:r>
          </w:p>
          <w:p>
            <w:pPr/>
            <w:r>
              <w:rPr/>
              <w:t xml:space="preserve">Looking ahead, our focus will be on accelerating field implementation, finalizing legal processes for PA establishment, supporting restoration in pilot leskhozes, and ensuring that local communities start seeing tangible benefits from the project.</w:t>
            </w:r>
          </w:p>
        </w:tc>
      </w:tr>
      <w:tr>
        <w:trPr/>
        <w:tc>
          <w:tcPr>
            <w:tcW w:w="5000" w:type="dxa"/>
            <w:gridSpan w:val="1"/>
            <w:noWrap/>
          </w:tcPr>
          <w:p>
            <w:pPr/>
            <w:r>
              <w:rPr>
                <w:b w:val="1"/>
                <w:bCs w:val="1"/>
              </w:rPr>
              <w:t xml:space="preserve">GEF Operational Focal point</w:t>
            </w:r>
          </w:p>
        </w:tc>
        <w:tc>
          <w:tcPr>
            <w:tcW w:w="10000" w:type="dxa"/>
            <w:gridSpan w:val="1"/>
            <w:noWrap/>
          </w:tcPr>
          <w:p>
            <w:pPr/>
            <w:r>
              <w:rPr>
                <w:i w:val="1"/>
                <w:iCs w:val="1"/>
              </w:rPr>
              <w:t xml:space="preserve">(not set or not applicable)</w:t>
            </w:r>
          </w:p>
        </w:tc>
      </w:tr>
      <w:tr>
        <w:trPr/>
        <w:tc>
          <w:tcPr>
            <w:tcW w:w="5000" w:type="dxa"/>
            <w:gridSpan w:val="1"/>
            <w:noWrap/>
          </w:tcPr>
          <w:p>
            <w:pPr/>
            <w:r>
              <w:rPr>
                <w:b w:val="1"/>
                <w:bCs w:val="1"/>
              </w:rPr>
              <w:t xml:space="preserve">Project Implementing Partner</w:t>
            </w:r>
          </w:p>
        </w:tc>
        <w:tc>
          <w:tcPr>
            <w:tcW w:w="10000" w:type="dxa"/>
            <w:gridSpan w:val="1"/>
            <w:noWrap/>
          </w:tcPr>
          <w:p>
            <w:pPr/>
            <w:r>
              <w:rPr>
                <w:i w:val="1"/>
                <w:iCs w:val="1"/>
              </w:rPr>
              <w:t xml:space="preserve">(not set or not applicable)</w:t>
            </w:r>
          </w:p>
        </w:tc>
      </w:tr>
      <w:tr>
        <w:trPr/>
        <w:tc>
          <w:tcPr>
            <w:tcW w:w="5000" w:type="dxa"/>
            <w:gridSpan w:val="1"/>
            <w:noWrap/>
          </w:tcPr>
          <w:p>
            <w:pPr/>
            <w:r>
              <w:rPr>
                <w:b w:val="1"/>
                <w:bCs w:val="1"/>
              </w:rPr>
              <w:t xml:space="preserve">Other Partners</w:t>
            </w:r>
          </w:p>
        </w:tc>
        <w:tc>
          <w:tcPr>
            <w:tcW w:w="10000" w:type="dxa"/>
            <w:gridSpan w:val="1"/>
            <w:noWrap/>
          </w:tcPr>
          <w:p>
            <w:pPr/>
            <w:r>
              <w:rPr>
                <w:i w:val="1"/>
                <w:iCs w:val="1"/>
              </w:rPr>
              <w:t xml:space="preserve">(not set or not applicable)</w:t>
            </w:r>
          </w:p>
        </w:tc>
      </w:tr>
    </w:tbl>
    <w:p>
      <w:pPr>
        <w:sectPr>
          <w:pgSz w:orient="portrait" w:w="11905.511811023622" w:h="16837.79527559055"/>
          <w:pgMar w:top="500" w:right="500" w:bottom="500" w:left="500" w:header="720" w:footer="720" w:gutter="0"/>
          <w:cols w:num="1" w:space="720"/>
        </w:sectPr>
      </w:pPr>
    </w:p>
    <w:p>
      <w:pPr>
        <w:pStyle w:val="Heading1"/>
      </w:pPr>
      <w:bookmarkStart w:id="17" w:name="_Toc17"/>
      <w:r>
        <w:t>Minor Amendments</w:t>
      </w:r>
      <w:bookmarkEnd w:id="17"/>
    </w:p>
    <w:p>
      <w:pPr>
        <w:spacing w:before="0" w:after="0"/>
      </w:pPr>
      <w:r>
        <w:rPr/>
        <w:t xml:space="preserve"/>
      </w:r>
    </w:p>
    <w:p>
      <w:pPr/>
      <w:r>
        <w:rPr/>
        <w:t xml:space="preserve">Minor amendments are changes to the project design or implementation that do not have significant impact on the project objectives or scope, or an increase of the GEF project financing up to 5% as described in Annex 9 of the </w:t>
      </w:r>
      <w:hyperlink r:id="rId9" w:history="1">
        <w:r>
          <w:rPr/>
          <w:t xml:space="preserve">GEF Project and Program Cycle Policy Guidelines</w:t>
        </w:r>
      </w:hyperlink>
      <w:r>
        <w:rPr/>
        <w:t xml:space="preserve">.</w:t>
      </w:r>
    </w:p>
    <w:p>
      <w:pPr/>
      <w:r>
        <w:rPr>
          <w:b w:val="1"/>
          <w:bCs w:val="1"/>
        </w:rPr>
        <w:t xml:space="preserve">CO Programme Officer:</w:t>
      </w:r>
      <w:r>
        <w:rPr/>
        <w:t xml:space="preserve"> Please mark each category for which a minor amendment occurred during this reporting period (1 July 2024- 30 June 2025). </w:t>
      </w:r>
    </w:p>
    <w:p>
      <w:pPr/>
      <w:r>
        <w:rPr/>
        <w:t xml:space="preserve">For each category that is marked, please provide a brief description of the change that occurred in the associated text box. You may attach supporting documentation, as appropriate.</w:t>
      </w:r>
    </w:p>
    <w:p>
      <w:pPr/>
      <w:r>
        <w:rPr/>
        <w:t xml:space="preserve">The purpose of this section is to capture adaptive management and measure project proactiveness, an indicator outlined in paragraph 70 of the GEF-8 Policy Directions available </w:t>
      </w:r>
      <w:hyperlink r:id="rId10" w:history="1">
        <w:r>
          <w:rPr/>
          <w:t xml:space="preserve">here.</w:t>
        </w:r>
      </w:hyperlink>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Other</w:t>
            </w:r>
          </w:p>
        </w:tc>
      </w:tr>
      <w:tr>
        <w:trPr/>
        <w:tc>
          <w:tcPr>
            <w:tcW w:w="10000" w:type="dxa"/>
            <w:gridSpan w:val="1"/>
            <w:noWrap/>
          </w:tcPr>
          <w:p>
            <w:pPr/>
            <w:r>
              <w:rPr/>
              <w:t xml:space="preserve">No</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A) Results Framework</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the 'Results framework'</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 Components and cost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'Components and cost'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 Institutional and implementation arrangements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'Institutional and implementation arrangements'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D) Financial management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'Financial Management'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E) Implementation schedule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'Implementation schedule'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F) Executing Entity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G) Executing Entity Category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 Category'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H) Minor project objective change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'minor project objective change'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I) Safeguards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'Safeguards'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J) Risk Analysis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'Risk Analysis'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K) Increase of GEF project financing up to 5%</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 to GEF project financing up to 5%</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L) Co-financing</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'Co-financing'</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M) Location of project activity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project location activity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Please provide a description of other types of minor amendments that do not fall under any of the above categories. For example, minor changes to the project's Gender Action Plan and/or gender activities can be captured here.</w:t>
            </w:r>
          </w:p>
        </w:tc>
      </w:tr>
      <w:tr>
        <w:trPr/>
        <w:tc>
          <w:tcPr>
            <w:tcW w:w="10000" w:type="dxa"/>
            <w:gridSpan w:val="1"/>
            <w:noWrap/>
          </w:tcPr>
          <w:p>
            <w:pPr/>
            <w:r>
              <w:rPr/>
              <w:t xml:space="preserve">No amendments</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Upload any supporting documentation related to responses in this section.</w:t>
            </w:r>
          </w:p>
          <w:p>
            <w:pPr/>
            <w:r>
              <w:rPr>
                <w:i w:val="1"/>
                <w:iCs w:val="1"/>
              </w:rPr>
              <w:t xml:space="preserve">(Uploaded files will be kept internal and not submitted to the GEF.)</w:t>
            </w:r>
          </w:p>
        </w:tc>
      </w:tr>
      <w:tr>
        <w:trPr/>
        <w:tc>
          <w:tcPr>
            <w:tcW w:w="10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8" w:name="_Toc18"/>
      <w:r>
        <w:t>Gender</w:t>
      </w:r>
      <w:bookmarkEnd w:id="18"/>
    </w:p>
    <w:p>
      <w:pPr>
        <w:pStyle w:val="Heading2"/>
      </w:pPr>
      <w:bookmarkStart w:id="19" w:name="_Toc19"/>
      <w:r>
        <w:t>Progress in Advancing Gender Equality and Women's Empowerment</w:t>
      </w:r>
      <w:bookmarkEnd w:id="19"/>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trPr/>
        <w:tc>
          <w:tcPr>
            <w:tcW w:w="10000" w:type="dxa"/>
            <w:noWrap/>
          </w:tcPr>
          <w:p>
            <w:pPr>
              <w:spacing w:before="0" w:after="0"/>
            </w:pPr>
            <w:r>
              <w:rPr/>
              <w:t xml:space="preserve">Gender Action Plan_AWP_approved.pdf</w:t>
            </w:r>
          </w:p>
          <w:p>
            <w:pP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Quantum Gender Marker Rating</w:t>
            </w:r>
          </w:p>
        </w:tc>
      </w:tr>
      <w:tr>
        <w:trPr/>
        <w:tc>
          <w:tcPr>
            <w:tcW w:w="10000" w:type="dxa"/>
            <w:noWrap/>
          </w:tcPr>
          <w:p>
            <w:pPr/>
            <w:r>
              <w:rPr>
                <w:b w:val="1"/>
                <w:bCs w:val="1"/>
              </w:rPr>
              <w:t xml:space="preserve">GEN2: </w:t>
            </w:r>
            <w:r>
              <w:rPr/>
              <w:t xml:space="preserve">Gender equality as significant objective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indicate in which results areas the project is contributing to gender equality (you may select more than one results area, or select not applicable):</w:t>
            </w:r>
          </w:p>
        </w:tc>
      </w:tr>
      <w:tr>
        <w:trPr/>
        <w:tc>
          <w:tcPr>
            <w:tcW w:w="10000" w:type="dxa"/>
            <w:gridSpan w:val="1"/>
            <w:noWrap/>
          </w:tcPr>
          <w:p>
            <w:pPr/>
            <w:r>
              <w:rPr/>
              <w:t xml:space="preserve">Contributing to closing gender gaps in access to and control over resources: No</w:t>
            </w:r>
          </w:p>
        </w:tc>
      </w:tr>
      <w:tr>
        <w:trPr/>
        <w:tc>
          <w:tcPr>
            <w:tcW w:w="10000" w:type="dxa"/>
            <w:gridSpan w:val="1"/>
            <w:noWrap/>
          </w:tcPr>
          <w:p>
            <w:pPr/>
            <w:r>
              <w:rPr/>
              <w:t xml:space="preserve">Improving the participation and decision-making of women in natural resource governance: Yes</w:t>
            </w:r>
          </w:p>
        </w:tc>
      </w:tr>
      <w:tr>
        <w:trPr/>
        <w:tc>
          <w:tcPr>
            <w:tcW w:w="10000" w:type="dxa"/>
            <w:gridSpan w:val="1"/>
            <w:noWrap/>
          </w:tcPr>
          <w:p>
            <w:pPr/>
            <w:r>
              <w:rPr/>
              <w:t xml:space="preserve">Targeting socio-economic benefits and services for women: Yes</w:t>
            </w:r>
          </w:p>
        </w:tc>
      </w:tr>
      <w:tr>
        <w:trPr/>
        <w:tc>
          <w:tcPr>
            <w:tcW w:w="10000" w:type="dxa"/>
            <w:gridSpan w:val="1"/>
            <w:noWrap/>
          </w:tcPr>
          <w:p>
            <w:pPr/>
            <w:r>
              <w:rPr/>
              <w:t xml:space="preserve">Not applicable: No</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Please specify results achieved this reporting period that focus on increasing gender equality and the empowerment of women.</w:t>
            </w:r>
          </w:p>
          <w:p>
            <w:pPr/>
            <w:r>
              <w:rPr>
                <w:b w:val="1"/>
                <w:bCs w:val="1"/>
              </w:rPr>
              <w:t xml:space="preserve"/>
            </w:r>
          </w:p>
          <w:p>
            <w:pPr/>
            <w:r>
              <w:rPr>
                <w:b w:val="1"/>
                <w:bCs w:val="1"/>
              </w:rPr>
              <w:t xml:space="preserve">Please explain how the results reported addressed the different needs of men or women, changed norms, values, and power structures, and/or contributed to transforming or challenging gender inequalities and discrimination.</w:t>
            </w:r>
          </w:p>
        </w:tc>
      </w:tr>
      <w:tr>
        <w:trPr/>
        <w:tc>
          <w:tcPr>
            <w:tcW w:w="10000" w:type="dxa"/>
            <w:gridSpan w:val="1"/>
            <w:noWrap/>
          </w:tcPr>
          <w:p>
            <w:pPr/>
            <w:r>
              <w:rPr/>
              <w:t xml:space="preserve">During the reporting period, the project, being in its preparatory phase, has not yet achieved tangible results in gender equality and women’s empowerment. However, foundational efforts have laid the groundwork for gender-responsive approaches. Research, baseline data collection, and stakeholder consultations, including mobilization meetings and community consultations, actively encouraged equal participation of women and men.  Surveys on socio-economic and tourism potential incorporated women’s perspectives on resource access, fostering inclusivity. The UNDP Gender expert’s approval of the Gender work plan ensures strategies address gender disparities, setting the stage for challenging inequalities as the project progresses.</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4) Please describe how work to advance gender equality and women's empowerment enhanced the project's environmental and/or resilience outcomes.</w:t>
            </w:r>
          </w:p>
        </w:tc>
      </w:tr>
      <w:tr>
        <w:trPr/>
        <w:tc>
          <w:tcPr>
            <w:tcW w:w="10000" w:type="dxa"/>
            <w:gridSpan w:val="1"/>
            <w:noWrap/>
          </w:tcPr>
          <w:p>
            <w:pPr/>
            <w:r>
              <w:rPr/>
              <w:t xml:space="preserve">As the project remains in its preparatory phase, specific environmental or resilience outcomes linked to gender equality and women’s empowerment are yet to emerge. However, gender considerations are being embedded from the start to ensure inclusive and equitable future activities. Across key project activities, including the Project Board and Working Group meetings, the IX GSLEP SC Meeting, Gender Sensitivity Training, kick-off meetings and a field survey on tourism potential, women comprised 30% of participants (124 women out of 416 total participants). The Gender work plan, approved by the UNDP Gender expert, ensures policies and plans incorporate gender perspectives, establishing a foundation for gender-responsive planning. This commitment to gender inclusion is expected to enhance community engagement and equitable resource management, ultimately strengthening environmental and resilience outcomes.</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5) Please describe any experiences or linkages (direct or indirect) between project activities and gender-based violence (GBV).  This information is for UNDP use only and will not be shared with GEF Secretariat.</w:t>
            </w:r>
          </w:p>
          <w:p>
            <w:pPr/>
            <w:r>
              <w:rPr>
                <w:b w:val="1"/>
                <w:bCs w:val="1"/>
              </w:rPr>
              <w:t xml:space="preserve"/>
            </w:r>
          </w:p>
          <w:p>
            <w:pPr/>
            <w:r>
              <w:rPr>
                <w:b w:val="1"/>
                <w:bCs w:val="1"/>
              </w:rPr>
              <w:t xml:space="preserve">(Question #5 was not included in the PIR submission to the GEF)</w:t>
            </w:r>
          </w:p>
          <w:p>
            <w:pPr/>
            <w:r>
              <w:rPr>
                <w:b w:val="1"/>
                <w:bCs w:val="1"/>
              </w:rPr>
              <w:t xml:space="preserve"/>
            </w:r>
          </w:p>
          <w:p>
            <w:pPr/>
            <w:r>
              <w:rPr>
                <w:sz w:val="20"/>
                <w:szCs w:val="20"/>
              </w:rPr>
              <w:t xml:space="preserve">(Gender-based violence (GBV) is a catch all term referring to violence, abuse and discrimination directed at someone because of their gender. It can take many forms, including child or forced marriage, denial of inheritance or education​, intimate partner violence, female genital mutilation, rap​e, infanticide, transactional sex trafficking, sex slavery or killing in the name of family 'honour'. It is a result of entrenched structural inequalities which threaten sustainable development, undermine democratic governance and deepen vulnerabilities and social fragmentation. Because women and girls traditionally have less power and status, fewer resources and less education, income and decision-making power than their male counterparts, they are more likely to experience this kind of violence. However, men and boys can also experience GBV, including, for example, rape, mass conscription, castration, sex-selective massacre or homophobic abuse.  For more information on please visit </w:t>
            </w:r>
            <w:hyperlink r:id="rId11" w:history="1">
              <w:r>
                <w:rPr/>
                <w:t xml:space="preserve">UNDP’s portal on Gender-based Violence (GBV) and the Sustainable Development Goals (SDGs)</w:t>
              </w:r>
            </w:hyperlink>
            <w:r>
              <w:rPr>
                <w:sz w:val="20"/>
                <w:szCs w:val="20"/>
              </w:rPr>
              <w:t xml:space="preserve">.)</w:t>
            </w:r>
          </w:p>
          <w:p>
            <w:pPr/>
            <w:r>
              <w:rPr/>
              <w:t xml:space="preserve"> </w:t>
            </w:r>
          </w:p>
        </w:tc>
      </w:tr>
      <w:tr>
        <w:trPr/>
        <w:tc>
          <w:tcPr>
            <w:tcW w:w="10000" w:type="dxa"/>
            <w:gridSpan w:val="1"/>
            <w:noWrap/>
          </w:tcPr>
          <w:p>
            <w:pPr/>
            <w:r>
              <w:rPr/>
              <w:t xml:space="preserve">While no direct cases or incidents of gender-based violence (GBV) have been identified in connection with project activities to date, the project team remains attentive to the potential risks and relevance of GBV in the context of community engagement.</w:t>
            </w:r>
          </w:p>
          <w:p>
            <w:pPr/>
            <w:r>
              <w:rPr/>
              <w:t xml:space="preserve"/>
            </w:r>
          </w:p>
          <w:p>
            <w:pPr/>
            <w:r>
              <w:rPr/>
              <w:t xml:space="preserve">As part of efforts to build awareness and capacity on gender-related issues, members of the Project Team—including national partners, representatives from the Ministry of Natural Resources, Ecology and Technical Supervision (MNRETS), the Forest Service, and the Responsible Parties—participated in a UNDP CO workshop on "Mainstreaming Gender Aspects into Biodiversity Conservation Policy." This training helped to strengthen understanding of gender-sensitive approaches and highlighted the importance of recognizing and addressing potential GBV risks during project implementation.</w:t>
            </w:r>
          </w:p>
          <w:p>
            <w:pPr/>
            <w:r>
              <w:rPr/>
              <w:t xml:space="preserve"/>
            </w:r>
          </w:p>
          <w:p>
            <w:pPr/>
            <w:r>
              <w:rPr/>
              <w:t xml:space="preserve">The project will continue to integrate gender considerations into its planning and monitoring processes, with a focus on safeguarding against discrimination and promoting safe, inclusive participation.</w:t>
            </w:r>
          </w:p>
        </w:tc>
      </w:tr>
    </w:tbl>
    <w:p>
      <w:pPr>
        <w:sectPr>
          <w:pgSz w:orient="portrait" w:w="11905.511811023622" w:h="16837.79527559055"/>
          <w:pgMar w:top="1440" w:right="1440" w:bottom="1440" w:left="1440" w:header="720" w:footer="720" w:gutter="0"/>
          <w:cols w:num="1" w:space="720"/>
        </w:sectPr>
      </w:pPr>
    </w:p>
    <w:p>
      <w:pPr>
        <w:pStyle w:val="Heading1"/>
      </w:pPr>
      <w:bookmarkStart w:id="20" w:name="_Toc20"/>
      <w:r>
        <w:t>Risk Management</w:t>
      </w:r>
      <w:bookmarkEnd w:id="20"/>
    </w:p>
    <w:p>
      <w:pPr>
        <w:pStyle w:val="Heading2"/>
      </w:pPr>
      <w:bookmarkStart w:id="21" w:name="_Toc21"/>
      <w:r>
        <w:t>A) Overall Risk Management</w:t>
      </w:r>
      <w:bookmarkEnd w:id="21"/>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BPPS RTA: Please discuss the risks flagged in the Quantum project Risk Register and the VF Risk Dashboard in PIMS+ with the CO and then provide an assessment of project risk management undertaken during the  reporting period. Document actions, agreed with the CO, to address all project risks in the coming year.</w:t>
            </w:r>
          </w:p>
          <w:p>
            <w:pPr/>
            <w:r>
              <w:rPr>
                <w:b w:val="1"/>
                <w:bCs w:val="1"/>
              </w:rPr>
              <w:t xml:space="preserve"/>
            </w:r>
          </w:p>
        </w:tc>
      </w:tr>
      <w:tr>
        <w:trPr/>
        <w:tc>
          <w:tcPr>
            <w:tcW w:w="10000" w:type="dxa"/>
            <w:gridSpan w:val="1"/>
            <w:noWrap/>
          </w:tcPr>
          <w:p>
            <w:pPr/>
            <w:r>
              <w:rPr/>
              <w:t xml:space="preserve">Risk remains Low.  The project should consider the following key watch-areas: (i) Schedule risk from seasonal windows and multi-agency coordination; (ii) Field implementation risks (livestock pressure on plantations; irrigation constraints; heatwaves) affecting restoration viability; (iii) Data continuity for corridor design (baseline integration across partners).</w:t>
            </w:r>
          </w:p>
          <w:p>
            <w:pPr/>
            <w:r>
              <w:rPr/>
              <w:t xml:space="preserve">Looking forward (next reporting period) : Close collaboration with MoA/Forest Service and follow road map and milestones for corridor establishment ; pre-position nurseries and fencing aligned to grazing calendars; specify seed provenance/quality; integrate irrigation solutions and climate-tolerant species; finalize e-Jaiyt specs and training to operationalize adaptive grazing rules with due considerations to climate risks. Finalisation  of ESMF and close coordination with the regional SES TA.</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Project Manager: Please upload evidence of actions taken to mitigate risks</w:t>
            </w:r>
          </w:p>
          <w:p>
            <w:pPr/>
            <w:r>
              <w:rPr>
                <w:b w:val="1"/>
                <w:bCs w:val="1"/>
              </w:rPr>
              <w:t xml:space="preserve"/>
            </w:r>
          </w:p>
        </w:tc>
      </w:tr>
      <w:tr>
        <w:trPr/>
        <w:tc>
          <w:tcPr>
            <w:tcW w:w="10000" w:type="dxa"/>
            <w:noWrap/>
          </w:tcPr>
          <w:p>
            <w:pPr>
              <w:spacing w:before="0" w:after="0"/>
            </w:pPr>
            <w:r>
              <w:rPr/>
              <w:t xml:space="preserve">Annex 40_2025-06-10_Minutes_CAMP_UNDP_SLT.pdf</w:t>
            </w:r>
          </w:p>
          <w:p>
            <w:pPr/>
          </w:p>
        </w:tc>
      </w:tr>
    </w:tbl>
    <w:p>
      <w:pPr>
        <w:pStyle w:val="Heading2"/>
      </w:pPr>
      <w:bookmarkStart w:id="22" w:name="_Toc22"/>
      <w:r>
        <w:t>B) SES Implementation</w:t>
      </w:r>
      <w:bookmarkEnd w:id="22"/>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
            </w:r>
          </w:p>
          <w:p>
            <w:pPr/>
            <w:r>
              <w:rPr/>
              <w:t xml:space="preserve"> </w:t>
            </w:r>
            <w:r>
              <w:rPr>
                <w:b w:val="1"/>
                <w:bCs w:val="1"/>
                <w:u w:val="single"/>
              </w:rPr>
              <w:t xml:space="preserve">1) SESP</w:t>
            </w:r>
          </w:p>
          <w:p>
            <w:pPr/>
            <w:r>
              <w:rPr>
                <w:sz w:val="20"/>
                <w:szCs w:val="20"/>
                <w:b w:val="1"/>
                <w:bCs w:val="1"/>
              </w:rPr>
              <w:t xml:space="preserve">1a) Select status</w:t>
            </w:r>
          </w:p>
        </w:tc>
      </w:tr>
      <w:tr>
        <w:trPr/>
        <w:tc>
          <w:tcPr>
            <w:tcW w:w="10000" w:type="dxa"/>
            <w:gridSpan w:val="1"/>
            <w:noWrap/>
          </w:tcPr>
          <w:p>
            <w:pPr/>
            <w:r>
              <w:rPr/>
              <w:t xml:space="preserve">Still relevant</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
            </w:r>
          </w:p>
          <w:p>
            <w:pPr/>
            <w:r>
              <w:rPr>
                <w:b w:val="1"/>
                <w:bCs w:val="1"/>
              </w:rPr>
              <w:t xml:space="preserve">1b) If revisions to the SESP are/were needed, please explain</w:t>
            </w:r>
          </w:p>
        </w:tc>
      </w:tr>
      <w:tr>
        <w:trPr/>
        <w:tc>
          <w:tcPr>
            <w:tcW w:w="10000" w:type="dxa"/>
            <w:gridSpan w:val="1"/>
            <w:noWrap/>
          </w:tcPr>
          <w:p>
            <w:pPr/>
            <w:r>
              <w:rPr/>
              <w:t xml:space="preserve">N/A</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Stakeholder Engagement Plan</w:t>
            </w:r>
          </w:p>
          <w:p>
            <w:pPr/>
            <w:r>
              <w:rPr>
                <w:b w:val="1"/>
                <w:bCs w:val="1"/>
              </w:rPr>
              <w:t xml:space="preserve"/>
            </w:r>
          </w:p>
          <w:p>
            <w:pPr/>
            <w:r>
              <w:rPr>
                <w:sz w:val="20"/>
                <w:szCs w:val="20"/>
                <w:b w:val="1"/>
                <w:bCs w:val="1"/>
              </w:rPr>
              <w:t xml:space="preserve">2a) Select status</w:t>
            </w:r>
          </w:p>
        </w:tc>
      </w:tr>
      <w:tr>
        <w:trPr/>
        <w:tc>
          <w:tcPr>
            <w:tcW w:w="10000" w:type="dxa"/>
            <w:gridSpan w:val="1"/>
            <w:noWrap/>
          </w:tcPr>
          <w:p>
            <w:pPr/>
            <w:r>
              <w:rPr/>
              <w:t xml:space="preserve">Still relevant</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2b) Provide an update on progress, challenges and outcomes related to stakeholder engagement based on the description in the Stakeholder Engagement Plan or equivalent documentation submitted at CEO Endorsement/Approval.</w:t>
            </w:r>
          </w:p>
        </w:tc>
      </w:tr>
      <w:tr>
        <w:trPr/>
        <w:tc>
          <w:tcPr>
            <w:tcW w:w="10000" w:type="dxa"/>
            <w:gridSpan w:val="1"/>
            <w:noWrap/>
          </w:tcPr>
          <w:p>
            <w:pPr/>
            <w:r>
              <w:rPr/>
              <w:t xml:space="preserve">The project’s Stakeholder Engagement Plan (SEP), revised in June 2025, provides an inclusive framework for involving government bodies, local authorities, communities, NGOs, and the private sector in safeguarding biodiversity and promoting sustainable land use in the Pamir-Alai mountain ecosystems. Engagement is tailored to stakeholder influence and interest, with active collaboration from MNRETS, forest and pasture agencies, local governments, and communities, supported by targeted consultations and knowledge-sharing with NGOs, academia, and international partners. Gender and youth inclusion (minimum 30% participation), integration of biodiversity into development planning, and equitable benefit-sharing are key features of the SEP.</w:t>
            </w:r>
          </w:p>
          <w:p>
            <w:pPr/>
            <w:r>
              <w:rPr/>
              <w:t xml:space="preserve"/>
            </w:r>
          </w:p>
          <w:p>
            <w:pPr/>
            <w:r>
              <w:rPr/>
              <w:t xml:space="preserve">At the outset, an inception mission (Batken and Osh, 25 Feb–2 Mar 2024) engaged a wide spectrum of stakeholders—from Members of Parliament and oblast/district administrations to forestry enterprises, ayil aimaks, women’s groups, and NGOs. These consultations introduced project objectives, captured local priorities, and secured broad support for new protected areas, sustainable forest/pasture management, stronger biodiversity monitoring, and alternative livelihoods such as ecotourism. Women’s groups (e.g., Bai-Alay, Leilek) emphasized their role through traditional knowledge and community-based initiatives. Challenges identified included limited technical capacity of PAs, infrastructure gaps, and climate vulnerabilities, but national and local authorities reaffirmed strong political commitment to align the project with state biodiversity and mountain agendas. Since then, consultations and meetings with local communities and partners have been actively conducted, ensuring continuous participation, adaptation, and ownership in project implementation.</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
            </w:r>
          </w:p>
          <w:p>
            <w:pPr/>
            <w:r>
              <w:rPr>
                <w:b w:val="1"/>
                <w:bCs w:val="1"/>
              </w:rPr>
              <w:t xml:space="preserve">3) SES Frameworks</w:t>
            </w:r>
          </w:p>
          <w:p>
            <w:pPr/>
            <w:r>
              <w:rPr>
                <w:sz w:val="20"/>
                <w:szCs w:val="20"/>
                <w:b w:val="1"/>
                <w:bCs w:val="1"/>
              </w:rPr>
              <w:t xml:space="preserve">3a) Environmental and Social Management Framework (ESMF), if relevant:</w:t>
            </w:r>
          </w:p>
          <w:p>
            <w:pPr/>
            <w:r>
              <w:rPr>
                <w:sz w:val="20"/>
                <w:szCs w:val="20"/>
                <w:b w:val="1"/>
                <w:bCs w:val="1"/>
              </w:rPr>
              <w:t xml:space="preserve"> Summarize implementation progress and challenges during the reporting period and outline any actions planned in the next reporting period. Any related monitoring reports should be uploaded as evidence under Section A above, 'Overall Risk Management'</w:t>
            </w:r>
          </w:p>
        </w:tc>
      </w:tr>
      <w:tr>
        <w:trPr/>
        <w:tc>
          <w:tcPr>
            <w:tcW w:w="10000" w:type="dxa"/>
            <w:gridSpan w:val="1"/>
            <w:noWrap/>
          </w:tcPr>
          <w:p>
            <w:pPr/>
            <w:r>
              <w:rPr/>
              <w:t xml:space="preserve">An Environmental and Social Management Framework (ESMF) has not been developed at this stage of the project. It will be prepared during the implementation phase, specifically in the course of reforestation activities and the establishment of monitoring points.</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
            </w:r>
          </w:p>
          <w:p>
            <w:pPr/>
            <w:r>
              <w:rPr>
                <w:sz w:val="20"/>
                <w:szCs w:val="20"/>
                <w:b w:val="1"/>
                <w:bCs w:val="1"/>
              </w:rPr>
              <w:t xml:space="preserve">3b) Other SES Frameworks, if relevant:</w:t>
            </w:r>
          </w:p>
          <w:p>
            <w:pPr/>
            <w:r>
              <w:rPr>
                <w:sz w:val="20"/>
                <w:szCs w:val="20"/>
                <w:b w:val="1"/>
                <w:bCs w:val="1"/>
              </w:rPr>
              <w:t xml:space="preserve">Are there any other SES Frameworks in place for the project? (e.g. Indigenous Peoples Planning Framework, Resettlement Action Framework, Livelihood Action Framework)</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If yes, please list and briefly describe those documents below, their status, progress, and challenges. Any related monitoring reports should be uploaded as evidence under Section A above 'Overall Risk Management'.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
            </w:r>
          </w:p>
          <w:p>
            <w:pPr/>
            <w:r>
              <w:rPr>
                <w:b w:val="1"/>
                <w:bCs w:val="1"/>
              </w:rPr>
              <w:t xml:space="preserve">4) Social and Environmental Assessments/Management Plans</w:t>
            </w:r>
          </w:p>
          <w:p>
            <w:pPr/>
            <w:r>
              <w:rPr>
                <w:b w:val="1"/>
                <w:bCs w:val="1"/>
              </w:rPr>
              <w:t xml:space="preserve">4a) Strategic Environmental and Social Assessment (SESA), if relevant:</w:t>
            </w:r>
          </w:p>
          <w:p>
            <w:pPr/>
            <w:r>
              <w:rPr>
                <w:b w:val="1"/>
                <w:bCs w:val="1"/>
              </w:rPr>
              <w:t xml:space="preserve">Briefly describe the scope of application and status of the SESA, and summarize progress and challenges.</w:t>
            </w:r>
          </w:p>
        </w:tc>
      </w:tr>
      <w:tr>
        <w:trPr/>
        <w:tc>
          <w:tcPr>
            <w:tcW w:w="10000" w:type="dxa"/>
            <w:gridSpan w:val="1"/>
            <w:noWrap/>
          </w:tcPr>
          <w:p>
            <w:pPr/>
            <w:r>
              <w:rPr/>
              <w:t xml:space="preserve">The Strategic Environmental and Social Assessment (SESA) is not applicable at the current stage of project implementation.</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
            </w:r>
          </w:p>
          <w:p>
            <w:pPr/>
            <w:r>
              <w:rPr>
                <w:b w:val="1"/>
                <w:bCs w:val="1"/>
              </w:rPr>
              <w:t xml:space="preserve">4b) Environmental and Social Impact Assessments (ESIAs)/Environmental and Social Management Plans (ESMPs), if relevant:</w:t>
            </w:r>
          </w:p>
          <w:p>
            <w:pPr/>
            <w:r>
              <w:rPr>
                <w:b w:val="1"/>
                <w:bCs w:val="1"/>
              </w:rPr>
              <w:t xml:space="preserve">Based on the project's ESMF and/or SESP, please list any ESIAs/ESMPs required during project implementation with a brief summary of which project activities they apply to and the status of each (i.e. under implementation, draft, or planned).</w:t>
            </w:r>
          </w:p>
        </w:tc>
      </w:tr>
      <w:tr>
        <w:trPr/>
        <w:tc>
          <w:tcPr>
            <w:tcW w:w="10000" w:type="dxa"/>
            <w:gridSpan w:val="1"/>
            <w:noWrap/>
          </w:tcPr>
          <w:p>
            <w:pPr/>
            <w:r>
              <w:rPr/>
              <w:t xml:space="preserve">ESIAs is not applicable at the current stage of the project implementation.</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For the ESIAs/ESMPs under implementation during this reporting period, provide an update on progress and challenges. Any related monitoring reports should be uploaded as evidence under Section A above, 'Overall Risk Management'.</w:t>
            </w:r>
          </w:p>
        </w:tc>
      </w:tr>
      <w:tr>
        <w:trPr/>
        <w:tc>
          <w:tcPr>
            <w:tcW w:w="10000" w:type="dxa"/>
            <w:gridSpan w:val="1"/>
            <w:noWrap/>
          </w:tcPr>
          <w:p>
            <w:pPr/>
            <w:r>
              <w:rPr/>
              <w:t xml:space="preserve">N/A</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
            </w:r>
          </w:p>
          <w:p>
            <w:pPr/>
            <w:r>
              <w:rPr>
                <w:b w:val="1"/>
                <w:bCs w:val="1"/>
              </w:rPr>
              <w:t xml:space="preserve">4c) Targeted Assessments/Plans, if relevant:</w:t>
            </w:r>
          </w:p>
          <w:p>
            <w:pPr/>
            <w:r>
              <w:rPr>
                <w:b w:val="1"/>
                <w:bCs w:val="1"/>
              </w:rPr>
              <w:t xml:space="preserve">Based on the project's ESMF and/or SESP, please list any targeted assessments/plans required during project implementation with a brief summary of which project activities they apply to and the status of each (i.e. under implementation, draft, or planned).</w:t>
            </w:r>
          </w:p>
        </w:tc>
      </w:tr>
      <w:tr>
        <w:trPr/>
        <w:tc>
          <w:tcPr>
            <w:tcW w:w="10000" w:type="dxa"/>
            <w:gridSpan w:val="1"/>
            <w:noWrap/>
          </w:tcPr>
          <w:p>
            <w:pPr/>
            <w:r>
              <w:rPr/>
              <w:t xml:space="preserve">A targeted assessment is not applicable at the current stage of the project implementation.</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For the Targeted Assessments/Plans under implementation during this reporting period, provide and update on progress and challenges. Any related monitoring reports should be uploaded as evidence under Section A above, 'Overall Risk Management'.</w:t>
            </w:r>
          </w:p>
        </w:tc>
      </w:tr>
      <w:tr>
        <w:trPr/>
        <w:tc>
          <w:tcPr>
            <w:tcW w:w="10000" w:type="dxa"/>
            <w:gridSpan w:val="1"/>
            <w:noWrap/>
          </w:tcPr>
          <w:p>
            <w:pPr/>
            <w:r>
              <w:rPr/>
              <w:t xml:space="preserve">N/A</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
            </w:r>
          </w:p>
          <w:p>
            <w:pPr/>
            <w:r>
              <w:rPr>
                <w:b w:val="1"/>
                <w:bCs w:val="1"/>
              </w:rPr>
              <w:t xml:space="preserve">5) Project-level Grievance Redress Mechanism (GRM)</w:t>
            </w:r>
          </w:p>
          <w:p>
            <w:pPr/>
            <w:r>
              <w:rPr>
                <w:sz w:val="20"/>
                <w:szCs w:val="20"/>
                <w:b w:val="1"/>
                <w:bCs w:val="1"/>
              </w:rPr>
              <w:t xml:space="preserve">5a) Select status</w:t>
            </w:r>
          </w:p>
        </w:tc>
      </w:tr>
      <w:tr>
        <w:trPr/>
        <w:tc>
          <w:tcPr>
            <w:tcW w:w="10000" w:type="dxa"/>
            <w:gridSpan w:val="1"/>
            <w:noWrap/>
          </w:tcPr>
          <w:p>
            <w:pPr/>
            <w:r>
              <w:rPr/>
              <w:t xml:space="preserve">Not applicable to project</w:t>
            </w:r>
          </w:p>
        </w:tc>
      </w:tr>
      <w:tr>
        <w:trPr/>
        <w:tc>
          <w:tcPr>
            <w:tcW w:w="10000" w:type="dxa"/>
            <w:shd w:val="clear" w:fill="#D9D9D9"/>
            <w:noWrap/>
          </w:tcPr>
          <w:p>
            <w:pPr/>
            <w:r>
              <w:rPr>
                <w:b w:val="1"/>
                <w:bCs w:val="1"/>
              </w:rPr>
              <w:t xml:space="preserve">If designed but not yet operationalized, please describe challenges and plans to operationalize</w:t>
            </w:r>
          </w:p>
        </w:tc>
      </w:tr>
      <w:tr>
        <w:trPr/>
        <w:tc>
          <w:tcPr>
            <w:tcW w:w="10000" w:type="dxa"/>
            <w:gridSpan w:val="1"/>
            <w:noWrap/>
          </w:tcPr>
          <w:p>
            <w:pPr/>
            <w:r>
              <w:rPr>
                <w:i w:val="1"/>
                <w:iCs w:val="1"/>
              </w:rPr>
              <w:t xml:space="preserve">(not set or not applicable)</w:t>
            </w:r>
          </w:p>
        </w:tc>
      </w:tr>
      <w:tr>
        <w:trPr/>
        <w:tc>
          <w:tcPr>
            <w:tcW w:w="10000" w:type="dxa"/>
            <w:shd w:val="clear" w:fill="#D9D9D9"/>
            <w:noWrap/>
          </w:tcPr>
          <w:p>
            <w:pPr/>
            <w:r>
              <w:rPr>
                <w:b w:val="1"/>
                <w:bCs w:val="1"/>
              </w:rPr>
              <w:t xml:space="preserve">If operational, please describe challenges and progress and explain how the GRM has been communicated to stakeholders, including project affected people.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5b) Have there been any concerns or complaints about the social and/or environmental impacts of the project? If yes, please describe in the text box.</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If 'Yes', please describe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5c) Please provide a hyperlink to the project's GRM. Other evidence of the project's GRM should be uploaded above in section 'A) Overall Risk Management'</w:t>
            </w:r>
          </w:p>
        </w:tc>
      </w:tr>
      <w:tr>
        <w:trPr/>
        <w:tc>
          <w:tcPr>
            <w:tcW w:w="10000" w:type="dxa"/>
            <w:gridSpan w:val="1"/>
            <w:noWrap/>
          </w:tcPr>
          <w:p>
            <w:pPr/>
            <w:r>
              <w:rPr/>
              <w:t xml:space="preserve">https://www.undp.org/accountability/audit/secu-srm/stakeholder-response-mechanism</w:t>
            </w:r>
          </w:p>
        </w:tc>
      </w:tr>
    </w:tbl>
    <w:p>
      <w:pPr>
        <w:pStyle w:val="Heading2"/>
      </w:pPr>
      <w:bookmarkStart w:id="23" w:name="_Toc23"/>
      <w:r>
        <w:t>C) Social and Environmental Standards (SES) Support</w:t>
      </w:r>
      <w:bookmarkEnd w:id="23"/>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SES Technical Advisor</w:t>
            </w:r>
          </w:p>
          <w:p>
            <w:pPr/>
            <w:r>
              <w:rPr>
                <w:rFonts w:ascii="'Calibri'" w:hAnsi="'Calibri'" w:eastAsia="'Calibri'" w:cs="'Calibri'"/>
                <w:sz w:val="22"/>
                <w:szCs w:val="22"/>
              </w:rPr>
              <w:t xml:space="preserve">What category of SES support does this project need? (choose one and provide justification in the text box) This information will be used internally and will not be submitted to the GEF.</w:t>
            </w:r>
          </w:p>
        </w:tc>
      </w:tr>
      <w:tr>
        <w:trPr/>
        <w:tc>
          <w:tcPr>
            <w:tcW w:w="10000" w:type="dxa"/>
            <w:gridSpan w:val="1"/>
            <w:noWrap/>
          </w:tcPr>
          <w:p>
            <w:pPr/>
            <w:r>
              <w:rPr/>
              <w:t xml:space="preserve">B. Enhanced SES TA oversight (prioritized for proactive SES TA support)</w:t>
            </w:r>
          </w:p>
        </w:tc>
      </w:tr>
      <w:tr>
        <w:trPr/>
        <w:tc>
          <w:tcPr>
            <w:tcW w:w="10000" w:type="dxa"/>
            <w:shd w:val="clear" w:fill="#D9D9D9"/>
            <w:noWrap/>
          </w:tcPr>
          <w:p>
            <w:pPr/>
            <w:r>
              <w:rPr>
                <w:b w:val="1"/>
                <w:bCs w:val="1"/>
              </w:rPr>
              <w:t xml:space="preserve">If (A) is selected, what is the level of this new Risk Dashboard risk?</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Provide justification for the above selection.</w:t>
            </w:r>
          </w:p>
          <w:p>
            <w:pPr/>
            <w:r>
              <w:rPr/>
              <w:t xml:space="preserve">Provide justification for the above selection.</w:t>
            </w:r>
          </w:p>
        </w:tc>
      </w:tr>
      <w:tr>
        <w:trPr/>
        <w:tc>
          <w:tcPr>
            <w:tcW w:w="10000" w:type="dxa"/>
            <w:gridSpan w:val="1"/>
            <w:noWrap/>
          </w:tcPr>
          <w:p>
            <w:pPr/>
            <w:r>
              <w:rPr/>
              <w:t xml:space="preserve">The project, as reported in its PIR, will need to finalise its ESMF (a draft of which is available and foresees a wide range of assessment and management measures) which will require in-depth discussion with and clearance by the SES TA. Once finalised, it will need to start implementing it and also establish the GRM.</w:t>
            </w:r>
          </w:p>
        </w:tc>
      </w:tr>
    </w:tbl>
    <w:p>
      <w:pPr>
        <w:sectPr>
          <w:pgSz w:orient="portrait" w:w="11905.511811023622" w:h="16837.79527559055"/>
          <w:pgMar w:top="1440" w:right="1440" w:bottom="1440" w:left="1440" w:header="720" w:footer="720" w:gutter="0"/>
          <w:cols w:num="1" w:space="720"/>
        </w:sectPr>
      </w:pPr>
    </w:p>
    <w:p>
      <w:pPr>
        <w:pStyle w:val="Heading1"/>
      </w:pPr>
      <w:bookmarkStart w:id="24" w:name="_Toc24"/>
      <w:r>
        <w:t>Knowledge Management &amp; Communications</w:t>
      </w:r>
      <w:bookmarkEnd w:id="24"/>
    </w:p>
    <w:p>
      <w:pPr>
        <w:spacing w:before="0" w:after="0"/>
      </w:pPr>
      <w:r>
        <w:rPr/>
        <w:t xml:space="preserve"/>
      </w:r>
    </w:p>
    <w:p>
      <w:pPr/>
      <w:r>
        <w:rPr/>
        <w:t xml:space="preserve"> </w:t>
      </w:r>
    </w:p>
    <w:p>
      <w:pPr/>
      <w:r>
        <w:rPr/>
        <w:t xml:space="preserve">The </w:t>
      </w:r>
      <w:r>
        <w:rPr>
          <w:b w:val="1"/>
          <w:bCs w:val="1"/>
        </w:rPr>
        <w:t xml:space="preserve">Project Manager</w:t>
      </w:r>
      <w:r>
        <w:rPr/>
        <w:t xml:space="preserve"> must complete the three questions below.</w:t>
      </w:r>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provide progress on the implementation of the project's Knowledge Management approach approved at CEO Endorsement/Approval.  If there is no KM approach/strategy, please comment on how the project is capturing and disseminating best practices and lessons learned.</w:t>
            </w:r>
          </w:p>
          <w:p>
            <w:pPr/>
            <w:r>
              <w:rPr>
                <w:b w:val="1"/>
                <w:bCs w:val="1"/>
              </w:rPr>
              <w:t xml:space="preserve"/>
            </w:r>
          </w:p>
        </w:tc>
      </w:tr>
      <w:tr>
        <w:trPr/>
        <w:tc>
          <w:tcPr>
            <w:tcW w:w="10000" w:type="dxa"/>
            <w:gridSpan w:val="1"/>
            <w:noWrap/>
          </w:tcPr>
          <w:p>
            <w:pPr/>
            <w:r>
              <w:rPr/>
              <w:t xml:space="preserve">The project is fully aligned with the UNDP Kyrgyzstan Country Office Knowledge Management and Learning Strategy for 2024–2027 (attached below), which emphasizes the systematic documentation, sharing, and application of knowledge to enhance project effectiveness and sustainability. In support of this, the project promotes continuous learning through data-driven decision-making, stakeholder consultations, field-level assessments, and knowledge exchange across regions and institutions.</w:t>
            </w:r>
          </w:p>
          <w:p>
            <w:pPr/>
            <w:r>
              <w:rPr/>
              <w:t xml:space="preserve"/>
            </w:r>
          </w:p>
          <w:p>
            <w:pPr/>
            <w:r>
              <w:rPr/>
              <w:t xml:space="preserve">In addition, the project has developed a comprehensive Communication and Visibility Strategy (attached below) that outlines clear communication channels, tools, and methods to engage beneficiaries, partners, and the broader public effectively. This strategy ensures that project achievements, lessons learned, and good practices are widely disseminated through targeted media campaigns, events, publications, and digital platforms. It also supports stakeholder participation by promoting transparency, inclusivity, and active feedback mechanisms throughout project implementation.</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provide URLs specific to this project in the relevant field below.  Please categorize the URLs appropriately (for example: project websites, social media sites, media coverage, etc.)</w:t>
            </w:r>
          </w:p>
        </w:tc>
      </w:tr>
      <w:tr>
        <w:trPr/>
        <w:tc>
          <w:tcPr>
            <w:tcW w:w="10000" w:type="dxa"/>
            <w:gridSpan w:val="1"/>
            <w:noWrap/>
          </w:tcPr>
          <w:p>
            <w:pPr/>
            <w:r>
              <w:rPr/>
              <w:t xml:space="preserve">01 July 2024 – 31 June 2025 Period</w:t>
            </w:r>
          </w:p>
          <w:p>
            <w:pPr/>
            <w:r>
              <w:rPr/>
              <w:t xml:space="preserve"/>
            </w:r>
          </w:p>
          <w:p>
            <w:pPr/>
            <w:r>
              <w:rPr/>
              <w:t xml:space="preserve">Social Media Links:</w:t>
            </w:r>
          </w:p>
          <w:p>
            <w:pPr/>
            <w:r>
              <w:rPr/>
              <w:t xml:space="preserve"/>
            </w:r>
          </w:p>
          <w:p>
            <w:pPr/>
            <w:r>
              <w:rPr/>
              <w:t xml:space="preserve">https://www.instagram.com/p/DDwj1sLoB5s/?igsh=MXUxN3FsODU1dmh1aQ==</w:t>
            </w:r>
          </w:p>
          <w:p>
            <w:pPr/>
            <w:r>
              <w:rPr/>
              <w:t xml:space="preserve"/>
            </w:r>
          </w:p>
          <w:p>
            <w:pPr/>
            <w:r>
              <w:rPr/>
              <w:t xml:space="preserve">https://www.instagram.com/globalsnowleopard/p/DIvAcEiq56a/?img_index=1</w:t>
            </w:r>
          </w:p>
          <w:p>
            <w:pPr/>
            <w:r>
              <w:rPr/>
              <w:t xml:space="preserve"/>
            </w:r>
          </w:p>
          <w:p>
            <w:pPr/>
            <w:r>
              <w:rPr/>
              <w:t xml:space="preserve">https://www.instagram.com/globalsnowleopard/p/DKuK20-K6VN/?img_index=1</w:t>
            </w:r>
          </w:p>
          <w:p>
            <w:pPr/>
            <w:r>
              <w:rPr/>
              <w:t xml:space="preserve"/>
            </w:r>
          </w:p>
          <w:p>
            <w:pPr/>
            <w:r>
              <w:rPr/>
              <w:t xml:space="preserve">https://www.instagram.com/globalsnowleopard/p/DKhgh6qKQYK/?img_index=1</w:t>
            </w:r>
          </w:p>
          <w:p>
            <w:pPr/>
            <w:r>
              <w:rPr/>
              <w:t xml:space="preserve"/>
            </w:r>
          </w:p>
          <w:p>
            <w:pPr/>
            <w:r>
              <w:rPr/>
              <w:t xml:space="preserve">https://www.instagram.com/globalsnowleopard/reel/DKjKRGuqdWc/</w:t>
            </w:r>
          </w:p>
          <w:p>
            <w:pPr/>
            <w:r>
              <w:rPr/>
              <w:t xml:space="preserve"/>
            </w:r>
          </w:p>
          <w:p>
            <w:pPr/>
            <w:r>
              <w:rPr/>
              <w:t xml:space="preserve">https://www.instagram.com/p/DKwBMPVqRw5/?img_index=4</w:t>
            </w:r>
          </w:p>
          <w:p>
            <w:pPr/>
            <w:r>
              <w:rPr/>
              <w:t xml:space="preserve"/>
            </w:r>
          </w:p>
          <w:p>
            <w:pPr/>
            <w:r>
              <w:rPr/>
              <w:t xml:space="preserve">https://x.com/gslep_program/status/1930640837349609635</w:t>
            </w:r>
          </w:p>
          <w:p>
            <w:pPr/>
            <w:r>
              <w:rPr/>
              <w:t xml:space="preserve"/>
            </w:r>
          </w:p>
          <w:p>
            <w:pPr/>
            <w:r>
              <w:rPr/>
              <w:t xml:space="preserve">UNDP Website:</w:t>
            </w:r>
          </w:p>
          <w:p>
            <w:pPr/>
            <w:r>
              <w:rPr/>
              <w:t xml:space="preserve"/>
            </w:r>
          </w:p>
          <w:p>
            <w:pPr/>
            <w:r>
              <w:rPr/>
              <w:t xml:space="preserve">https://www.undp.org/sites/g/files/zskgke326/files/2025-07/undp_gef.pdf</w:t>
            </w:r>
          </w:p>
          <w:p>
            <w:pPr/>
            <w:r>
              <w:rPr/>
              <w:t xml:space="preserve"/>
            </w:r>
          </w:p>
          <w:p>
            <w:pPr/>
            <w:r>
              <w:rPr/>
              <w:t xml:space="preserve">https://www.undp.org/kyrgyzstan/press-releases/collaborative-actions-biodiversity-conservation-western-tian-shan-pamir-alai</w:t>
            </w:r>
          </w:p>
          <w:p>
            <w:pPr/>
            <w:r>
              <w:rPr/>
              <w:t xml:space="preserve"/>
            </w:r>
          </w:p>
          <w:p>
            <w:pPr/>
            <w:r>
              <w:rPr/>
              <w:t xml:space="preserve">https://www.undp.org/ky/kyrgyzstan/press-releases/bioturduuluktu-saktoo-boyuncha-birgeleshken-araketter-batysh-tyan-shandan-pamir-alayga-karay</w:t>
            </w:r>
          </w:p>
          <w:p>
            <w:pPr/>
            <w:r>
              <w:rPr/>
              <w:t xml:space="preserve"/>
            </w:r>
          </w:p>
          <w:p>
            <w:pPr/>
            <w:r>
              <w:rPr/>
              <w:t xml:space="preserve">https://www.undp.org/ru/kyrgyzstan/press-releases/sovmestnye-deystviya-po-sokhraneniyu-bioraznoobraziya-ot-zapadnogo-tyan-shanya-k-pamiro-alayu</w:t>
            </w:r>
          </w:p>
          <w:p>
            <w:pPr/>
            <w:r>
              <w:rPr/>
              <w:t xml:space="preserve"/>
            </w:r>
          </w:p>
          <w:p>
            <w:pPr/>
            <w:r>
              <w:rPr/>
              <w:t xml:space="preserve">Flickr album: https://flic.kr/s/aHBqjBVvhR</w:t>
            </w:r>
          </w:p>
          <w:p>
            <w:pPr/>
            <w:r>
              <w:rPr/>
              <w:t xml:space="preserve"/>
            </w:r>
          </w:p>
          <w:p>
            <w:pPr/>
            <w:r>
              <w:rPr/>
              <w:t xml:space="preserve">The Ministry of Natural Resources, Ecology and Technical Supervision Website: https://mnr.gov.kg/ky/posts/news/kyrgyzstan-prinyal-ix-zasedanie-upravlyayushhego-komiteta-globalnoi-programmy-po-soxraneniyu-sneznogo-barsa-gslep</w:t>
            </w:r>
          </w:p>
          <w:p>
            <w:pPr/>
            <w:r>
              <w:rPr/>
              <w:t xml:space="preserve"/>
            </w:r>
          </w:p>
          <w:p>
            <w:pPr/>
            <w:r>
              <w:rPr/>
              <w:t xml:space="preserve">https://www.camp.kg/projects/bio/integrirovannoe-upravlenie-osobo-cennymi-gornymi-ekosistemami-na-yuge-kyrgyzstana-na-urovne-soobschestv-dlya-polucheniya-mnozhestvennyh-ekologicheskih-vygod?lang=en</w:t>
            </w:r>
          </w:p>
          <w:p>
            <w:pPr/>
            <w:r>
              <w:rPr/>
              <w:t xml:space="preserve"/>
            </w:r>
          </w:p>
          <w:p>
            <w:pPr/>
            <w:r>
              <w:rPr/>
              <w:t xml:space="preserve">https://www.camp.kg/projects/bio/integrirovannoe-upravlenie-osobo-cennymi-gornymi-ekosistemami-na-yuge-kyrgyzstana-na-urovne-soobschestv-dlya-polucheniya-mnozhestvennyh-ekologicheskih-vygod</w:t>
            </w:r>
          </w:p>
          <w:p>
            <w:pPr/>
            <w:r>
              <w:rPr/>
              <w:t xml:space="preserve"/>
            </w:r>
          </w:p>
          <w:p>
            <w:pPr/>
            <w:r>
              <w:rPr/>
              <w:t xml:space="preserve">https://globalsnowleopard.org/provisional-agenda-ninth-steering-committee-meeting-of-the-global-snow-leopard-and-ecosystem-protection-program-gslep-5-6-june-kyrgyz-republic/</w:t>
            </w:r>
          </w:p>
          <w:p>
            <w:pPr/>
            <w:r>
              <w:rPr/>
              <w:t xml:space="preserve"/>
            </w:r>
          </w:p>
          <w:p>
            <w:pPr/>
            <w:r>
              <w:rPr/>
              <w:t xml:space="preserve">https://globalsnowleopard.org/asian-nations-unite-to-protect-snow-leopards-combat-climate-crisis-in-worlds-high-mountains/</w:t>
            </w:r>
          </w:p>
          <w:p>
            <w:pPr/>
            <w:r>
              <w:rPr/>
              <w:t xml:space="preserve"/>
            </w:r>
          </w:p>
          <w:p>
            <w:pPr/>
            <w:r>
              <w:rPr/>
              <w:t xml:space="preserve">Media Links:</w:t>
            </w:r>
          </w:p>
          <w:p>
            <w:pPr/>
            <w:r>
              <w:rPr/>
              <w:t xml:space="preserve"/>
            </w:r>
          </w:p>
          <w:p>
            <w:pPr/>
            <w:r>
              <w:rPr/>
              <w:t xml:space="preserve">https://timesca.com/undp-supports-kyrgyzstan-in-biodiversity-conservation-and-sustainable-ecosystem-management/</w:t>
            </w:r>
          </w:p>
          <w:p>
            <w:pPr/>
            <w:r>
              <w:rPr/>
              <w:t xml:space="preserve"/>
            </w:r>
          </w:p>
          <w:p>
            <w:pPr/>
            <w:r>
              <w:rPr/>
              <w:t xml:space="preserve">https://m.akipress.com/news:833838:Cholpon-Ata_hosts_9th_GSLEP_Steering_Committee_Meeting_focused_on_snow_leopard_conservation/</w:t>
            </w:r>
          </w:p>
          <w:p>
            <w:pPr/>
            <w:r>
              <w:rPr/>
              <w:t xml:space="preserve"/>
            </w:r>
          </w:p>
          <w:p>
            <w:pPr/>
            <w:r>
              <w:rPr/>
              <w:t xml:space="preserve">https://24.kg/english/331707_Strategies_for_snow_leopard_conservation_discussed_in_Issyk-Kul_region/</w:t>
            </w:r>
          </w:p>
          <w:p>
            <w:pPr/>
            <w:r>
              <w:rPr/>
              <w:t xml:space="preserve"/>
            </w:r>
          </w:p>
          <w:p>
            <w:pPr/>
            <w:r>
              <w:rPr/>
              <w:t xml:space="preserve">https://timesca.com/kyrgyzstan-takes-the-lead-in-global-snow-leopard-conservation-efforts/</w:t>
            </w:r>
          </w:p>
          <w:p>
            <w:pPr/>
            <w:r>
              <w:rPr/>
              <w:t xml:space="preserve"/>
            </w:r>
          </w:p>
          <w:p>
            <w:pPr/>
            <w:r>
              <w:rPr/>
              <w:t xml:space="preserve">https://eco.akipress.org/news:2279198</w:t>
            </w:r>
          </w:p>
          <w:p>
            <w:pPr/>
            <w:r>
              <w:rPr/>
              <w:t xml:space="preserve"/>
            </w:r>
          </w:p>
          <w:p>
            <w:pPr/>
            <w:r>
              <w:rPr/>
              <w:t xml:space="preserve">https://report.kg/jekologija/33216-sohranenie-snezhnogo-barsa-v-cholpon-ate-startovalo-ix-zasedanie-upravljajuschego-komiteta-gslep.html</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In the PIR platform, please upload any supporting files, including the project's Communications Strategy, photos, videos, stories and other communication/knowledge materials.</w:t>
            </w:r>
          </w:p>
        </w:tc>
      </w:tr>
      <w:tr>
        <w:trPr/>
        <w:tc>
          <w:tcPr>
            <w:tcW w:w="10000" w:type="dxa"/>
            <w:noWrap/>
          </w:tcPr>
          <w:p>
            <w:pPr>
              <w:spacing w:before="0" w:after="0"/>
            </w:pPr>
            <w:r>
              <w:rPr/>
              <w:t xml:space="preserve">Gender Sensitivity training.jpeg</w:t>
            </w:r>
          </w:p>
          <w:p>
            <w:pPr>
              <w:spacing w:before="0" w:after="0"/>
            </w:pPr>
            <w:r>
              <w:rPr/>
              <w:t xml:space="preserve">IX Steering Committee Meeting of the Global Snow Leopard and Ecosystem Protection Program _GSLEP_ 1.jpg</w:t>
            </w:r>
          </w:p>
          <w:p>
            <w:pPr>
              <w:spacing w:before="0" w:after="0"/>
            </w:pPr>
            <w:r>
              <w:rPr/>
              <w:t xml:space="preserve">IX Steering Committee Meeting of the Global Snow Leopard and Ecosystem Protection Program _GSLEP_ 2.jpg</w:t>
            </w:r>
          </w:p>
          <w:p>
            <w:pPr>
              <w:spacing w:before="0" w:after="0"/>
            </w:pPr>
            <w:r>
              <w:rPr/>
              <w:t xml:space="preserve">Project Board Meeting 1.jpg</w:t>
            </w:r>
          </w:p>
          <w:p>
            <w:pPr>
              <w:spacing w:before="0" w:after="0"/>
            </w:pPr>
            <w:r>
              <w:rPr/>
              <w:t xml:space="preserve">Project Board Meeting 2.jpg</w:t>
            </w:r>
          </w:p>
          <w:p>
            <w:pPr>
              <w:spacing w:before="0" w:after="0"/>
            </w:pPr>
            <w:r>
              <w:rPr/>
              <w:t xml:space="preserve">Smartphones handover 1.jpg</w:t>
            </w:r>
          </w:p>
          <w:p>
            <w:pPr>
              <w:spacing w:before="0" w:after="0"/>
            </w:pPr>
            <w:r>
              <w:rPr/>
              <w:t xml:space="preserve">Smartphones handover 2.jpg</w:t>
            </w:r>
          </w:p>
          <w:p>
            <w:pPr/>
          </w:p>
        </w:tc>
      </w:tr>
    </w:tbl>
    <w:p>
      <w:pPr>
        <w:sectPr>
          <w:pgSz w:orient="portrait" w:w="11905.511811023622" w:h="16837.79527559055"/>
          <w:pgMar w:top="1440" w:right="1440" w:bottom="1440" w:left="1440" w:header="720" w:footer="720" w:gutter="0"/>
          <w:cols w:num="1" w:space="720"/>
        </w:sectPr>
      </w:pPr>
    </w:p>
    <w:p>
      <w:pPr>
        <w:pStyle w:val="Heading1"/>
      </w:pPr>
      <w:bookmarkStart w:id="25" w:name="_Toc25"/>
      <w:r>
        <w:t>Submissions</w:t>
      </w:r>
      <w:bookmarkEnd w:id="25"/>
    </w:p>
    <w:tbl>
      <w:tblGrid>
        <w:gridCol w:w="2500" w:type="dxa"/>
        <w:gridCol w:w="1500" w:type="dxa"/>
        <w:gridCol w:w="2500" w:type="dxa"/>
        <w:gridCol w:w="3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2500" w:type="dxa"/>
            <w:gridSpan w:val="1"/>
            <w:noWrap/>
          </w:tcPr>
          <w:p>
            <w:pPr/>
            <w:r>
              <w:rPr>
                <w:b w:val="1"/>
                <w:bCs w:val="1"/>
              </w:rPr>
              <w:t xml:space="preserve">Role</w:t>
            </w:r>
          </w:p>
        </w:tc>
        <w:tc>
          <w:tcPr>
            <w:tcW w:w="1500" w:type="dxa"/>
            <w:gridSpan w:val="1"/>
            <w:noWrap/>
          </w:tcPr>
          <w:p>
            <w:pPr/>
            <w:r>
              <w:rPr>
                <w:b w:val="1"/>
                <w:bCs w:val="1"/>
              </w:rPr>
              <w:t xml:space="preserve">Date of submission</w:t>
            </w:r>
          </w:p>
        </w:tc>
        <w:tc>
          <w:tcPr>
            <w:tcW w:w="2500" w:type="dxa"/>
            <w:gridSpan w:val="1"/>
            <w:noWrap/>
          </w:tcPr>
          <w:p>
            <w:pPr/>
            <w:r>
              <w:rPr>
                <w:b w:val="1"/>
                <w:bCs w:val="1"/>
              </w:rPr>
              <w:t xml:space="preserve">Name</w:t>
            </w:r>
          </w:p>
        </w:tc>
        <w:tc>
          <w:tcPr>
            <w:tcW w:w="3000" w:type="dxa"/>
            <w:gridSpan w:val="1"/>
            <w:noWrap/>
          </w:tcPr>
          <w:p>
            <w:pPr/>
            <w:r>
              <w:rPr>
                <w:b w:val="1"/>
                <w:bCs w:val="1"/>
              </w:rPr>
              <w:t xml:space="preserve">E-mail</w:t>
            </w:r>
          </w:p>
        </w:tc>
      </w:tr>
      <w:tr>
        <w:trPr/>
        <w:tc>
          <w:tcPr>
            <w:tcW w:w="2500" w:type="dxa"/>
            <w:gridSpan w:val="1"/>
            <w:noWrap/>
          </w:tcPr>
          <w:p>
            <w:pPr/>
            <w:r>
              <w:rPr/>
              <w:t xml:space="preserve">Project Manager/Coordinator</w:t>
            </w:r>
          </w:p>
        </w:tc>
        <w:tc>
          <w:tcPr>
            <w:tcW w:w="1500" w:type="dxa"/>
            <w:gridSpan w:val="1"/>
            <w:noWrap/>
          </w:tcPr>
          <w:p>
            <w:pPr/>
            <w:r>
              <w:rPr/>
              <w:t xml:space="preserve">Sep 2, 2025</w:t>
            </w:r>
          </w:p>
        </w:tc>
        <w:tc>
          <w:tcPr>
            <w:tcW w:w="2500" w:type="dxa"/>
            <w:gridSpan w:val="1"/>
            <w:noWrap/>
          </w:tcPr>
          <w:p>
            <w:pPr/>
            <w:r>
              <w:rPr/>
              <w:t xml:space="preserve">Umut Zholdoshova</w:t>
            </w:r>
          </w:p>
        </w:tc>
        <w:tc>
          <w:tcPr>
            <w:tcW w:w="3000" w:type="dxa"/>
            <w:gridSpan w:val="1"/>
            <w:noWrap/>
          </w:tcPr>
          <w:p>
            <w:pPr/>
            <w:r>
              <w:rPr/>
              <w:t xml:space="preserve">umut.zholdoshova@undp.org</w:t>
            </w:r>
          </w:p>
        </w:tc>
      </w:tr>
      <w:tr>
        <w:trPr/>
        <w:tc>
          <w:tcPr>
            <w:tcW w:w="2500" w:type="dxa"/>
            <w:gridSpan w:val="1"/>
            <w:noWrap/>
          </w:tcPr>
          <w:p>
            <w:pPr/>
            <w:r>
              <w:rPr/>
              <w:t xml:space="preserve">UNDP Country Office Programme Officer</w:t>
            </w:r>
          </w:p>
        </w:tc>
        <w:tc>
          <w:tcPr>
            <w:tcW w:w="1500" w:type="dxa"/>
            <w:gridSpan w:val="1"/>
            <w:noWrap/>
          </w:tcPr>
          <w:p>
            <w:pPr/>
            <w:r>
              <w:rPr/>
              <w:t xml:space="preserve">Jul 31, 2025</w:t>
            </w:r>
          </w:p>
        </w:tc>
        <w:tc>
          <w:tcPr>
            <w:tcW w:w="2500" w:type="dxa"/>
            <w:gridSpan w:val="1"/>
            <w:noWrap/>
          </w:tcPr>
          <w:p>
            <w:pPr/>
            <w:r>
              <w:rPr/>
              <w:t xml:space="preserve">Ms. Lira ZHOLDUBAEVA</w:t>
            </w:r>
          </w:p>
        </w:tc>
        <w:tc>
          <w:tcPr>
            <w:tcW w:w="3000" w:type="dxa"/>
            <w:gridSpan w:val="1"/>
            <w:noWrap/>
          </w:tcPr>
          <w:p>
            <w:pPr/>
            <w:r>
              <w:rPr/>
              <w:t xml:space="preserve">lira.zholdubaeva@undp.org</w:t>
            </w:r>
          </w:p>
        </w:tc>
      </w:tr>
      <w:tr>
        <w:trPr/>
        <w:tc>
          <w:tcPr>
            <w:tcW w:w="2500" w:type="dxa"/>
            <w:gridSpan w:val="1"/>
            <w:noWrap/>
          </w:tcPr>
          <w:p>
            <w:pPr/>
            <w:r>
              <w:rPr/>
              <w:t xml:space="preserve">GEF Operational Focal point</w:t>
            </w:r>
          </w:p>
        </w:tc>
        <w:tc>
          <w:tcPr>
            <w:tcW w:w="1500" w:type="dxa"/>
            <w:gridSpan w:val="1"/>
            <w:noWrap/>
          </w:tcPr>
          <w:p>
            <w:pPr/>
            <w:r>
              <w:rPr/>
              <w:t xml:space="preserve"/>
            </w:r>
          </w:p>
        </w:tc>
        <w:tc>
          <w:tcPr>
            <w:tcW w:w="2500" w:type="dxa"/>
            <w:gridSpan w:val="1"/>
            <w:noWrap/>
          </w:tcPr>
          <w:p>
            <w:pPr/>
            <w:r>
              <w:rPr/>
              <w:t xml:space="preserve"/>
            </w:r>
          </w:p>
        </w:tc>
        <w:tc>
          <w:tcPr>
            <w:tcW w:w="3000" w:type="dxa"/>
            <w:gridSpan w:val="1"/>
            <w:noWrap/>
          </w:tcPr>
          <w:p>
            <w:pPr/>
            <w:r>
              <w:rPr/>
              <w:t xml:space="preserve"/>
            </w:r>
          </w:p>
        </w:tc>
      </w:tr>
      <w:tr>
        <w:trPr/>
        <w:tc>
          <w:tcPr>
            <w:tcW w:w="2500" w:type="dxa"/>
            <w:gridSpan w:val="1"/>
            <w:noWrap/>
          </w:tcPr>
          <w:p>
            <w:pPr/>
            <w:r>
              <w:rPr/>
              <w:t xml:space="preserve">Project Implementing Partner</w:t>
            </w:r>
          </w:p>
        </w:tc>
        <w:tc>
          <w:tcPr>
            <w:tcW w:w="1500" w:type="dxa"/>
            <w:gridSpan w:val="1"/>
            <w:noWrap/>
          </w:tcPr>
          <w:p>
            <w:pPr/>
            <w:r>
              <w:rPr/>
              <w:t xml:space="preserve"/>
            </w:r>
          </w:p>
        </w:tc>
        <w:tc>
          <w:tcPr>
            <w:tcW w:w="2500" w:type="dxa"/>
            <w:gridSpan w:val="1"/>
            <w:noWrap/>
          </w:tcPr>
          <w:p>
            <w:pPr/>
            <w:r>
              <w:rPr/>
              <w:t xml:space="preserve"/>
            </w:r>
          </w:p>
        </w:tc>
        <w:tc>
          <w:tcPr>
            <w:tcW w:w="3000" w:type="dxa"/>
            <w:gridSpan w:val="1"/>
            <w:noWrap/>
          </w:tcPr>
          <w:p>
            <w:pPr/>
            <w:r>
              <w:rPr/>
              <w:t xml:space="preserve"/>
            </w:r>
          </w:p>
        </w:tc>
      </w:tr>
      <w:tr>
        <w:trPr/>
        <w:tc>
          <w:tcPr>
            <w:tcW w:w="2500" w:type="dxa"/>
            <w:gridSpan w:val="1"/>
            <w:noWrap/>
          </w:tcPr>
          <w:p>
            <w:pPr/>
            <w:r>
              <w:rPr/>
              <w:t xml:space="preserve">Other Partners</w:t>
            </w:r>
          </w:p>
        </w:tc>
        <w:tc>
          <w:tcPr>
            <w:tcW w:w="1500" w:type="dxa"/>
            <w:gridSpan w:val="1"/>
            <w:noWrap/>
          </w:tcPr>
          <w:p>
            <w:pPr/>
            <w:r>
              <w:rPr/>
              <w:t xml:space="preserve"/>
            </w:r>
          </w:p>
        </w:tc>
        <w:tc>
          <w:tcPr>
            <w:tcW w:w="2500" w:type="dxa"/>
            <w:gridSpan w:val="1"/>
            <w:noWrap/>
          </w:tcPr>
          <w:p>
            <w:pPr/>
            <w:r>
              <w:rPr/>
              <w:t xml:space="preserve"/>
            </w:r>
          </w:p>
        </w:tc>
        <w:tc>
          <w:tcPr>
            <w:tcW w:w="3000" w:type="dxa"/>
            <w:gridSpan w:val="1"/>
            <w:noWrap/>
          </w:tcPr>
          <w:p>
            <w:pPr/>
            <w:r>
              <w:rPr/>
              <w:t xml:space="preserve"/>
            </w:r>
          </w:p>
        </w:tc>
      </w:tr>
      <w:tr>
        <w:trPr/>
        <w:tc>
          <w:tcPr>
            <w:tcW w:w="2500" w:type="dxa"/>
            <w:gridSpan w:val="1"/>
            <w:noWrap/>
          </w:tcPr>
          <w:p>
            <w:pPr/>
            <w:r>
              <w:rPr/>
              <w:t xml:space="preserve">UNDP BPPS Programme Associate</w:t>
            </w:r>
          </w:p>
        </w:tc>
        <w:tc>
          <w:tcPr>
            <w:tcW w:w="1500" w:type="dxa"/>
            <w:gridSpan w:val="1"/>
            <w:noWrap/>
          </w:tcPr>
          <w:p>
            <w:pPr/>
            <w:r>
              <w:rPr/>
              <w:t xml:space="preserve">Sep 2, 2025</w:t>
            </w:r>
          </w:p>
        </w:tc>
        <w:tc>
          <w:tcPr>
            <w:tcW w:w="2500" w:type="dxa"/>
            <w:gridSpan w:val="1"/>
            <w:noWrap/>
          </w:tcPr>
          <w:p>
            <w:pPr/>
            <w:r>
              <w:rPr/>
              <w:t xml:space="preserve">Ms. Yeliz Oymen</w:t>
            </w:r>
          </w:p>
        </w:tc>
        <w:tc>
          <w:tcPr>
            <w:tcW w:w="3000" w:type="dxa"/>
            <w:gridSpan w:val="1"/>
            <w:noWrap/>
          </w:tcPr>
          <w:p>
            <w:pPr/>
            <w:r>
              <w:rPr/>
              <w:t xml:space="preserve">yeliz.oymen@undp.org</w:t>
            </w:r>
          </w:p>
        </w:tc>
      </w:tr>
      <w:tr>
        <w:trPr/>
        <w:tc>
          <w:tcPr>
            <w:tcW w:w="2500" w:type="dxa"/>
            <w:gridSpan w:val="1"/>
            <w:noWrap/>
          </w:tcPr>
          <w:p>
            <w:pPr/>
            <w:r>
              <w:rPr/>
              <w:t xml:space="preserve">UNDP BPPS Technical Advisor</w:t>
            </w:r>
          </w:p>
        </w:tc>
        <w:tc>
          <w:tcPr>
            <w:tcW w:w="1500" w:type="dxa"/>
            <w:gridSpan w:val="1"/>
            <w:noWrap/>
          </w:tcPr>
          <w:p>
            <w:pPr/>
            <w:r>
              <w:rPr/>
              <w:t xml:space="preserve">Sep 3, 2025</w:t>
            </w:r>
          </w:p>
        </w:tc>
        <w:tc>
          <w:tcPr>
            <w:tcW w:w="2500" w:type="dxa"/>
            <w:gridSpan w:val="1"/>
            <w:noWrap/>
          </w:tcPr>
          <w:p>
            <w:pPr/>
            <w:r>
              <w:rPr/>
              <w:t xml:space="preserve">Ms. Monica Liana Moldovan</w:t>
            </w:r>
          </w:p>
        </w:tc>
        <w:tc>
          <w:tcPr>
            <w:tcW w:w="3000" w:type="dxa"/>
            <w:gridSpan w:val="1"/>
            <w:noWrap/>
          </w:tcPr>
          <w:p>
            <w:pPr/>
            <w:r>
              <w:rPr/>
              <w:t xml:space="preserve">monica.moldovan@undp.org</w:t>
            </w:r>
          </w:p>
        </w:tc>
      </w:tr>
      <w:tr>
        <w:trPr/>
        <w:tc>
          <w:tcPr>
            <w:tcW w:w="2500" w:type="dxa"/>
            <w:gridSpan w:val="1"/>
            <w:noWrap/>
          </w:tcPr>
          <w:p>
            <w:pPr/>
            <w:r>
              <w:rPr/>
              <w:t xml:space="preserve">UNDP Country Office Deputy Resident Representative</w:t>
            </w:r>
          </w:p>
        </w:tc>
        <w:tc>
          <w:tcPr>
            <w:tcW w:w="1500" w:type="dxa"/>
            <w:gridSpan w:val="1"/>
            <w:noWrap/>
          </w:tcPr>
          <w:p>
            <w:pPr/>
            <w:r>
              <w:rPr/>
              <w:t xml:space="preserve">Aug 1, 2025</w:t>
            </w:r>
          </w:p>
        </w:tc>
        <w:tc>
          <w:tcPr>
            <w:tcW w:w="2500" w:type="dxa"/>
            <w:gridSpan w:val="1"/>
            <w:noWrap/>
          </w:tcPr>
          <w:p>
            <w:pPr/>
            <w:r>
              <w:rPr/>
              <w:t xml:space="preserve">Ms. Alexandra SOLOVIEVA</w:t>
            </w:r>
          </w:p>
        </w:tc>
        <w:tc>
          <w:tcPr>
            <w:tcW w:w="3000" w:type="dxa"/>
            <w:gridSpan w:val="1"/>
            <w:noWrap/>
          </w:tcPr>
          <w:p>
            <w:pPr/>
            <w:r>
              <w:rPr/>
              <w:t xml:space="preserve">alexandra.solovieva@undp.org</w:t>
            </w:r>
          </w:p>
        </w:tc>
      </w:tr>
      <w:tr>
        <w:trPr/>
        <w:tc>
          <w:tcPr>
            <w:tcW w:w="2500" w:type="dxa"/>
            <w:gridSpan w:val="1"/>
            <w:noWrap/>
          </w:tcPr>
          <w:p>
            <w:pPr/>
            <w:r>
              <w:rPr/>
              <w:t xml:space="preserve">UNDP BPPS SES Technical Advisor</w:t>
            </w:r>
          </w:p>
        </w:tc>
        <w:tc>
          <w:tcPr>
            <w:tcW w:w="1500" w:type="dxa"/>
            <w:gridSpan w:val="1"/>
            <w:noWrap/>
          </w:tcPr>
          <w:p>
            <w:pPr/>
            <w:r>
              <w:rPr/>
              <w:t xml:space="preserve"/>
            </w:r>
          </w:p>
        </w:tc>
        <w:tc>
          <w:tcPr>
            <w:tcW w:w="2500" w:type="dxa"/>
            <w:gridSpan w:val="1"/>
            <w:noWrap/>
          </w:tcPr>
          <w:p>
            <w:pPr/>
            <w:r>
              <w:rPr/>
              <w:t xml:space="preserve"/>
            </w:r>
          </w:p>
        </w:tc>
        <w:tc>
          <w:tcPr>
            <w:tcW w:w="3000" w:type="dxa"/>
            <w:gridSpan w:val="1"/>
            <w:noWrap/>
          </w:tcPr>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CO Programme Officer: Please enter the total number of hours you have spent on this PIR.</w:t>
            </w:r>
          </w:p>
        </w:tc>
      </w:tr>
      <w:tr>
        <w:trPr/>
        <w:tc>
          <w:tcPr>
            <w:tcW w:w="10000" w:type="dxa"/>
            <w:gridSpan w:val="1"/>
            <w:noWrap/>
          </w:tcPr>
          <w:p>
            <w:pPr/>
            <w:r>
              <w:rPr/>
              <w:t xml:space="preserve">6</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BPPS RTA: Please enter the total number of hours you have spent on this PIR.</w:t>
            </w:r>
          </w:p>
        </w:tc>
      </w:tr>
      <w:tr>
        <w:trPr/>
        <w:tc>
          <w:tcPr>
            <w:tcW w:w="10000" w:type="dxa"/>
            <w:gridSpan w:val="1"/>
            <w:noWrap/>
          </w:tcPr>
          <w:p>
            <w:pPr/>
            <w:r>
              <w:rPr/>
              <w:t xml:space="preserve">36</w:t>
            </w:r>
          </w:p>
        </w:tc>
      </w:tr>
    </w:tbl>
    <w:p>
      <w:pPr>
        <w:sectPr>
          <w:pgSz w:orient="portrait" w:w="11905.511811023622" w:h="16837.79527559055"/>
          <w:pgMar w:top="1440" w:right="1440" w:bottom="1440" w:left="1440" w:header="720" w:footer="720" w:gutter="0"/>
          <w:cols w:num="1" w:space="720"/>
        </w:sectPr>
      </w:pPr>
    </w:p>
    <w:p>
      <w:pPr>
        <w:pStyle w:val="Heading1"/>
      </w:pPr>
      <w:bookmarkStart w:id="26" w:name="_Toc26"/>
      <w:r>
        <w:t>Annex - Ratings Definitions</w:t>
      </w:r>
      <w:bookmarkEnd w:id="26"/>
    </w:p>
    <w:p>
      <w:pPr/>
      <w:r>
        <w:rPr>
          <w:b w:val="1"/>
          <w:bCs w:val="1"/>
        </w:rPr>
        <w:t xml:space="preserve">Development Objective Progress Ratings Definitions</w:t>
      </w:r>
    </w:p>
    <w:p>
      <w:pPr/>
      <w:r>
        <w:rPr/>
        <w:t xml:space="preserve">(HS) Highly Satisfactory: Project is on track to exceed its end-of-project targets by project closure. The project can be presented as 'outstanding practice'.</w:t>
      </w:r>
    </w:p>
    <w:p>
      <w:pPr/>
      <w:r>
        <w:rPr/>
        <w:t xml:space="preserve">(S) Satisfactory: Project is on track to achieve its end-of-project targets by project closure and any minor challenges are being addressed through an adaptive management plan. The project can be presented as 'good practice'.</w:t>
      </w:r>
    </w:p>
    <w:p>
      <w:pPr/>
      <w:r>
        <w:rPr/>
        <w:t xml:space="preserve">(MS) Moderately Satisfactory: Project is on track to achieve its end-of-project targets by project closure and minor challenges can be addressed if an adaptive management plan is promptly put in place.</w:t>
      </w:r>
    </w:p>
    <w:p>
      <w:pPr/>
      <w:r>
        <w:rPr/>
        <w:t xml:space="preserve">(MU) Moderately Unsatisfactory: Project is off track and is expected to only partially achieve its end-of-project targets by project closure. Project results might still be achieved by project closure if adaptive management is undertaken immediately.</w:t>
      </w:r>
    </w:p>
    <w:p>
      <w:pPr/>
      <w:r>
        <w:rPr/>
        <w:t xml:space="preserve">(U) Unsatisfactory: Project is off track and is expected to only partially achieve its end-of-project targets by project closure. Project results might be partially achieved by project closure if major adaptive management is undertaken immediately.</w:t>
      </w:r>
    </w:p>
    <w:p>
      <w:pPr/>
      <w:r>
        <w:rPr/>
        <w:t xml:space="preserve">(HU) Highly Unsatisfactory: Project is off track and is not expected to achieve its end-of-project targets by project closure and adaptive management is not expected to materialize.</w:t>
      </w:r>
    </w:p>
    <w:p/>
    <w:p>
      <w:pPr/>
      <w:r>
        <w:rPr>
          <w:b w:val="1"/>
          <w:bCs w:val="1"/>
        </w:rPr>
        <w:t xml:space="preserve">Implementation Progress Ratings Definitions</w:t>
      </w:r>
    </w:p>
    <w:p>
      <w:pPr/>
      <w:r>
        <w:rPr/>
        <w:t xml:space="preserve">(HS) Highly Satisfactory: Implementation is exceeding expectations. Implementation of all outputs/activities is fully on track, proceeding as planned, The implementation of the project can be presented as 'outstanding practice'.</w:t>
      </w:r>
    </w:p>
    <w:p>
      <w:pPr/>
      <w:r>
        <w:rPr/>
        <w:t xml:space="preserve">(S) Satisfactory: Implementation is proceeding as planned with minor challenges that are being addressed. Implementation of all outputs/activities is on track with minor deviations The implementation of the project can be presented as 'good practice'. </w:t>
      </w:r>
    </w:p>
    <w:p>
      <w:pPr/>
      <w:r>
        <w:rPr/>
        <w:t xml:space="preserve">(MS) Moderately Satisfactory: Implementation is proceeding as planned with minor challenges that have not yet been addressed. Implementation of most outputs/activities is on track with minor deviations.</w:t>
      </w:r>
    </w:p>
    <w:p>
      <w:pPr/>
      <w:r>
        <w:rPr/>
        <w:t xml:space="preserve">(MU) Moderately Unsatisfactory: Implementation is not proceeding as planned and faces implementation challenges. Implementation of many outputs/activities is off track Implementation progress could be improved if adaptive management is undertaken immediately.</w:t>
      </w:r>
    </w:p>
    <w:p>
      <w:pPr/>
      <w:r>
        <w:rPr/>
        <w:t xml:space="preserve">(U) Unsatisfactory: Implementation is not proceeding as planned and faces major implementation challenges. Implementation of most outputs/activities is off track.</w:t>
      </w:r>
    </w:p>
    <w:p>
      <w:pPr/>
      <w:r>
        <w:rPr/>
        <w:t xml:space="preserve">(HU) Highly Unsatisfactory: Implementation is seriously under-performing. Implementation of all outputs/activities is severely off track.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Page </w:t>
    </w:r>
    <w:r>
      <w:fldChar w:fldCharType="begin"/>
    </w:r>
    <w:r>
      <w:instrText xml:space="preserve">PAGE</w:instrText>
    </w:r>
    <w:r>
      <w:fldChar w:fldCharType="separate"/>
    </w:r>
    <w:r>
      <w:fldChar w:fldCharType="end"/>
    </w:r>
    <w:r>
      <w:t xml:space="preserve"> of </w:t>
    </w:r>
    <w:r>
      <w:fldChar w:fldCharType="begin"/>
    </w:r>
    <w: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spacing w:before="0" w:after="0"/>
    </w:pPr>
    <w:r>
      <w:t xml:space="preserve">2025 Project Implementation Report</w:t>
    </w:r>
  </w:p>
  <w:p>
    <w:pPr>
      <w:jc w:val="end"/>
    </w:pPr>
    <w:r>
      <w:rPr>
        <w:color w:val="#FF0000"/>
      </w:rPr>
      <w:t xml:space="preserve">Full report for internal use only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E70E61"/>
    <w:multiLevelType w:val="multilevel"/>
    <w:lvl w:ilvl="0">
      <w:start w:val="1"/>
      <w:numFmt w:val="upperLetter"/>
      <w:pStyle w:val="Heading1"/>
      <w:suff w:val="tab"/>
      <w:lvlText w:val="%1."/>
      <w:pPr>
        <w:tabs>
          <w:tab w:val="num"/>
        </w:tabs>
        <w:ind/>
      </w:pPr>
      <w:rPr>
        <w:rFonts/>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numPr>
        <w:numId w:val="1"/>
        <w:ilvl w:val="0"/>
      </w:numPr>
      <w:outlineLvl w:val="0"/>
    </w:pPr>
    <w:rPr>
      <w:sz w:val="28"/>
      <w:szCs w:val="28"/>
      <w:b w:val="1"/>
      <w:bCs w:val="1"/>
    </w:rPr>
  </w:style>
  <w:style w:type="paragraph" w:styleId="Heading2">
    <w:link w:val="Heading2Char"/>
    <w:name w:val="heading 2"/>
    <w:basedOn w:val="Normal"/>
    <w:pPr>
      <w:spacing w:before="40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section_image2.jp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section_image1.gif"/><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hyperlink" Target="https://undp.sharepoint.com/teams/GBV/SitePages/Guidance%20for%20Practitioners.aspx" TargetMode="Externa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https://www.thegef.org/sites/default/files/documents/2022-04/GEF_R.08_31_GEF-8_Policy_Directions.pdf" TargetMode="External"/><Relationship Id="rId4" Type="http://schemas.openxmlformats.org/officeDocument/2006/relationships/theme" Target="theme/theme1.xml"/><Relationship Id="rId9" Type="http://schemas.openxmlformats.org/officeDocument/2006/relationships/hyperlink" Target="https://www.thegef.org/council-meeting-documents/guidelines-project-and-program-cycle-policy-2020-update"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B0556 - Kyrgyzstan - Bishkek</OfficeCountry>
    <DocumentStatus xmlns="d9cf0e28-81d2-4dc7-8b10-820d80ed680d">Approved</DocumentStatus>
    <DocCoverageEndDate xmlns="d9cf0e28-81d2-4dc7-8b10-820d80ed680d">2025-06-30T04:00:00+00:00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Progres Report</FileNameDescription>
    <ProjectNumber xmlns="d9cf0e28-81d2-4dc7-8b10-820d80ed680d">01001366</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UNDP-KGZ</OperatingUnit>
    <FocusArea xmlns="d9cf0e28-81d2-4dc7-8b10-820d80ed680d" xsi:nil="true"/>
    <DocCoverageStartDate xmlns="d9cf0e28-81d2-4dc7-8b10-820d80ed680d">2024-07-01T04:00:00+00:00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3DE97CB3-69F6-43FD-8660-A7B7F7CE9295}"/>
</file>

<file path=customXml/itemProps2.xml><?xml version="1.0" encoding="utf-8"?>
<ds:datastoreItem xmlns:ds="http://schemas.openxmlformats.org/officeDocument/2006/customXml" ds:itemID="{33FE7CAF-4C97-4F33-87E8-696C47A51535}"/>
</file>

<file path=customXml/itemProps3.xml><?xml version="1.0" encoding="utf-8"?>
<ds:datastoreItem xmlns:ds="http://schemas.openxmlformats.org/officeDocument/2006/customXml" ds:itemID="{96F8911F-20F9-4B2A-8107-BED480405AF3}"/>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 Report</dc:title>
  <dc:subject/>
  <dc:creator/>
  <cp:keywords/>
  <dc:description/>
  <cp:lastModifiedBy/>
  <dcterms:created xsi:type="dcterms:W3CDTF">2026-02-12T06:01:10Z</dcterms:created>
  <dcterms:modified xsi:type="dcterms:W3CDTF">2026-02-12T06:01:10Z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4" name="docLang">
    <vt:lpwstr>en</vt:lpwstr>
  </property>
  <property fmtid="{D5CDD505-2E9C-101B-9397-08002B2CF9AE}" pid="5" name="MediaServiceImageTags">
    <vt:lpwstr/>
  </property>
</Properties>
</file>